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4"/>
        </w:rPr>
      </w:pPr>
      <w:r>
        <w:rPr/>
        <w:drawing>
          <wp:anchor distT="0" distB="0" distL="0" distR="0" allowOverlap="1" layoutInCell="1" locked="0" behindDoc="1" simplePos="0" relativeHeight="487471104">
            <wp:simplePos x="0" y="0"/>
            <wp:positionH relativeFrom="page">
              <wp:posOffset>386400</wp:posOffset>
            </wp:positionH>
            <wp:positionV relativeFrom="page">
              <wp:posOffset>2136109</wp:posOffset>
            </wp:positionV>
            <wp:extent cx="7333294" cy="7775603"/>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7333294" cy="7775603"/>
                    </a:xfrm>
                    <a:prstGeom prst="rect">
                      <a:avLst/>
                    </a:prstGeom>
                  </pic:spPr>
                </pic:pic>
              </a:graphicData>
            </a:graphic>
          </wp:anchor>
        </w:drawing>
      </w:r>
    </w:p>
    <w:p>
      <w:pPr>
        <w:pStyle w:val="BodyText"/>
        <w:rPr>
          <w:rFonts w:ascii="Times New Roman"/>
          <w:sz w:val="24"/>
        </w:rPr>
      </w:pPr>
    </w:p>
    <w:p>
      <w:pPr>
        <w:pStyle w:val="BodyText"/>
        <w:rPr>
          <w:rFonts w:ascii="Times New Roman"/>
          <w:sz w:val="24"/>
        </w:rPr>
      </w:pPr>
    </w:p>
    <w:p>
      <w:pPr>
        <w:pStyle w:val="BodyText"/>
        <w:spacing w:before="169"/>
        <w:rPr>
          <w:rFonts w:ascii="Times New Roman"/>
          <w:sz w:val="24"/>
        </w:rPr>
      </w:pPr>
    </w:p>
    <w:p>
      <w:pPr>
        <w:spacing w:before="0"/>
        <w:ind w:left="895" w:right="0" w:firstLine="0"/>
        <w:jc w:val="left"/>
        <w:rPr>
          <w:rFonts w:ascii="Calibri"/>
          <w:b/>
          <w:sz w:val="24"/>
        </w:rPr>
      </w:pPr>
      <w:r>
        <w:rPr>
          <w:rFonts w:ascii="Calibri"/>
          <w:b/>
          <w:color w:val="42BDAC"/>
          <w:sz w:val="24"/>
        </w:rPr>
        <w:t>Professional</w:t>
      </w:r>
      <w:r>
        <w:rPr>
          <w:rFonts w:ascii="Calibri"/>
          <w:b/>
          <w:color w:val="42BDAC"/>
          <w:spacing w:val="-1"/>
          <w:sz w:val="24"/>
        </w:rPr>
        <w:t> </w:t>
      </w:r>
      <w:r>
        <w:rPr>
          <w:rFonts w:ascii="Calibri"/>
          <w:b/>
          <w:color w:val="42BDAC"/>
          <w:spacing w:val="-2"/>
          <w:sz w:val="24"/>
        </w:rPr>
        <w:t>Perspective</w:t>
      </w:r>
    </w:p>
    <w:p>
      <w:pPr>
        <w:pStyle w:val="Title"/>
        <w:spacing w:line="288" w:lineRule="auto"/>
      </w:pPr>
      <w:r>
        <w:rPr>
          <w:color w:val="333333"/>
        </w:rPr>
        <w:t>2024</w:t>
      </w:r>
      <w:r>
        <w:rPr>
          <w:color w:val="333333"/>
          <w:spacing w:val="-7"/>
        </w:rPr>
        <w:t> </w:t>
      </w:r>
      <w:r>
        <w:rPr>
          <w:color w:val="333333"/>
        </w:rPr>
        <w:t>Amendments</w:t>
      </w:r>
      <w:r>
        <w:rPr>
          <w:color w:val="333333"/>
          <w:spacing w:val="-4"/>
        </w:rPr>
        <w:t> </w:t>
      </w:r>
      <w:r>
        <w:rPr>
          <w:color w:val="333333"/>
        </w:rPr>
        <w:t>to</w:t>
      </w:r>
      <w:r>
        <w:rPr>
          <w:color w:val="333333"/>
          <w:spacing w:val="-5"/>
        </w:rPr>
        <w:t> </w:t>
      </w:r>
      <w:r>
        <w:rPr>
          <w:color w:val="333333"/>
        </w:rPr>
        <w:t>the</w:t>
      </w:r>
      <w:r>
        <w:rPr>
          <w:color w:val="333333"/>
          <w:spacing w:val="-7"/>
        </w:rPr>
        <w:t> </w:t>
      </w:r>
      <w:r>
        <w:rPr>
          <w:color w:val="333333"/>
        </w:rPr>
        <w:t>DGCL</w:t>
      </w:r>
      <w:r>
        <w:rPr>
          <w:color w:val="333333"/>
          <w:spacing w:val="-7"/>
        </w:rPr>
        <w:t> </w:t>
      </w:r>
      <w:r>
        <w:rPr>
          <w:color w:val="333333"/>
        </w:rPr>
        <w:t>&amp;</w:t>
      </w:r>
      <w:r>
        <w:rPr>
          <w:color w:val="333333"/>
          <w:spacing w:val="-4"/>
        </w:rPr>
        <w:t> </w:t>
      </w:r>
      <w:r>
        <w:rPr>
          <w:color w:val="333333"/>
        </w:rPr>
        <w:t>Delaware's</w:t>
      </w:r>
      <w:r>
        <w:rPr>
          <w:color w:val="333333"/>
          <w:spacing w:val="-4"/>
        </w:rPr>
        <w:t> </w:t>
      </w:r>
      <w:r>
        <w:rPr>
          <w:color w:val="333333"/>
        </w:rPr>
        <w:t>Alternative Entity Statutes</w:t>
      </w:r>
    </w:p>
    <w:p>
      <w:pPr>
        <w:spacing w:line="288" w:lineRule="auto" w:before="2"/>
        <w:ind w:left="895" w:right="1745" w:firstLine="0"/>
        <w:jc w:val="left"/>
        <w:rPr>
          <w:i/>
          <w:sz w:val="21"/>
        </w:rPr>
      </w:pPr>
      <w:hyperlink r:id="rId6">
        <w:r>
          <w:rPr>
            <w:b/>
            <w:i/>
            <w:color w:val="003399"/>
            <w:spacing w:val="-2"/>
            <w:sz w:val="21"/>
            <w:shd w:fill="F8F8F8" w:color="auto" w:val="clear"/>
          </w:rPr>
          <w:t> </w:t>
        </w:r>
        <w:r>
          <w:rPr>
            <w:b/>
            <w:i/>
            <w:color w:val="003399"/>
            <w:sz w:val="21"/>
            <w:u w:val="single" w:color="003399"/>
            <w:shd w:fill="F8F8F8" w:color="auto" w:val="clear"/>
          </w:rPr>
          <w:t>David</w:t>
        </w:r>
        <w:r>
          <w:rPr>
            <w:b/>
            <w:i/>
            <w:color w:val="003399"/>
            <w:spacing w:val="-5"/>
            <w:sz w:val="21"/>
            <w:u w:val="single" w:color="003399"/>
            <w:shd w:fill="F8F8F8" w:color="auto" w:val="clear"/>
          </w:rPr>
          <w:t> </w:t>
        </w:r>
        <w:r>
          <w:rPr>
            <w:b/>
            <w:i/>
            <w:color w:val="003399"/>
            <w:sz w:val="21"/>
            <w:u w:val="single" w:color="003399"/>
            <w:shd w:fill="F8F8F8" w:color="auto" w:val="clear"/>
          </w:rPr>
          <w:t>A.</w:t>
        </w:r>
        <w:r>
          <w:rPr>
            <w:b/>
            <w:i/>
            <w:color w:val="003399"/>
            <w:spacing w:val="-4"/>
            <w:sz w:val="21"/>
            <w:u w:val="single" w:color="003399"/>
            <w:shd w:fill="F8F8F8" w:color="auto" w:val="clear"/>
          </w:rPr>
          <w:t> </w:t>
        </w:r>
        <w:r>
          <w:rPr>
            <w:b/>
            <w:i/>
            <w:color w:val="003399"/>
            <w:sz w:val="21"/>
            <w:u w:val="single" w:color="003399"/>
            <w:shd w:fill="F8F8F8" w:color="auto" w:val="clear"/>
          </w:rPr>
          <w:t>Harris</w:t>
        </w:r>
      </w:hyperlink>
      <w:r>
        <w:rPr>
          <w:i/>
          <w:color w:val="000000"/>
          <w:sz w:val="21"/>
          <w:u w:val="none"/>
          <w:shd w:fill="F8F8F8" w:color="auto" w:val="clear"/>
        </w:rPr>
        <w:t>,</w:t>
      </w:r>
      <w:r>
        <w:rPr>
          <w:i/>
          <w:color w:val="000000"/>
          <w:spacing w:val="-2"/>
          <w:sz w:val="21"/>
          <w:u w:val="none"/>
          <w:shd w:fill="F8F8F8" w:color="auto" w:val="clear"/>
        </w:rPr>
        <w:t> </w:t>
      </w:r>
      <w:hyperlink r:id="rId7">
        <w:r>
          <w:rPr>
            <w:b/>
            <w:i/>
            <w:color w:val="003399"/>
            <w:sz w:val="21"/>
            <w:u w:val="single" w:color="003399"/>
            <w:shd w:fill="F8F8F8" w:color="auto" w:val="clear"/>
          </w:rPr>
          <w:t>Melissa</w:t>
        </w:r>
        <w:r>
          <w:rPr>
            <w:b/>
            <w:i/>
            <w:color w:val="003399"/>
            <w:spacing w:val="-7"/>
            <w:sz w:val="21"/>
            <w:u w:val="single" w:color="003399"/>
            <w:shd w:fill="F8F8F8" w:color="auto" w:val="clear"/>
          </w:rPr>
          <w:t> </w:t>
        </w:r>
        <w:r>
          <w:rPr>
            <w:b/>
            <w:i/>
            <w:color w:val="003399"/>
            <w:sz w:val="21"/>
            <w:u w:val="single" w:color="003399"/>
            <w:shd w:fill="F8F8F8" w:color="auto" w:val="clear"/>
          </w:rPr>
          <w:t>A.</w:t>
        </w:r>
        <w:r>
          <w:rPr>
            <w:b/>
            <w:i/>
            <w:color w:val="003399"/>
            <w:spacing w:val="-2"/>
            <w:sz w:val="21"/>
            <w:u w:val="single" w:color="003399"/>
            <w:shd w:fill="F8F8F8" w:color="auto" w:val="clear"/>
          </w:rPr>
          <w:t> </w:t>
        </w:r>
        <w:r>
          <w:rPr>
            <w:b/>
            <w:i/>
            <w:color w:val="003399"/>
            <w:sz w:val="21"/>
            <w:u w:val="single" w:color="003399"/>
            <w:shd w:fill="F8F8F8" w:color="auto" w:val="clear"/>
          </w:rPr>
          <w:t>DiVincenzo</w:t>
        </w:r>
      </w:hyperlink>
      <w:r>
        <w:rPr>
          <w:i/>
          <w:color w:val="000000"/>
          <w:sz w:val="21"/>
          <w:u w:val="none"/>
          <w:shd w:fill="F8F8F8" w:color="auto" w:val="clear"/>
        </w:rPr>
        <w:t>,</w:t>
      </w:r>
      <w:r>
        <w:rPr>
          <w:i/>
          <w:color w:val="000000"/>
          <w:spacing w:val="-2"/>
          <w:sz w:val="21"/>
          <w:u w:val="none"/>
          <w:shd w:fill="F8F8F8" w:color="auto" w:val="clear"/>
        </w:rPr>
        <w:t> </w:t>
      </w:r>
      <w:hyperlink r:id="rId8">
        <w:r>
          <w:rPr>
            <w:b/>
            <w:i/>
            <w:color w:val="003399"/>
            <w:sz w:val="21"/>
            <w:u w:val="single" w:color="003399"/>
            <w:shd w:fill="F8F8F8" w:color="auto" w:val="clear"/>
          </w:rPr>
          <w:t>Matthew</w:t>
        </w:r>
        <w:r>
          <w:rPr>
            <w:b/>
            <w:i/>
            <w:color w:val="003399"/>
            <w:spacing w:val="-5"/>
            <w:sz w:val="21"/>
            <w:u w:val="single" w:color="003399"/>
            <w:shd w:fill="F8F8F8" w:color="auto" w:val="clear"/>
          </w:rPr>
          <w:t> </w:t>
        </w:r>
        <w:r>
          <w:rPr>
            <w:b/>
            <w:i/>
            <w:color w:val="003399"/>
            <w:sz w:val="21"/>
            <w:u w:val="single" w:color="003399"/>
            <w:shd w:fill="F8F8F8" w:color="auto" w:val="clear"/>
          </w:rPr>
          <w:t>R.</w:t>
        </w:r>
        <w:r>
          <w:rPr>
            <w:b/>
            <w:i/>
            <w:color w:val="003399"/>
            <w:spacing w:val="-4"/>
            <w:sz w:val="21"/>
            <w:u w:val="single" w:color="003399"/>
            <w:shd w:fill="F8F8F8" w:color="auto" w:val="clear"/>
          </w:rPr>
          <w:t> </w:t>
        </w:r>
        <w:r>
          <w:rPr>
            <w:b/>
            <w:i/>
            <w:color w:val="003399"/>
            <w:sz w:val="21"/>
            <w:u w:val="single" w:color="003399"/>
            <w:shd w:fill="F8F8F8" w:color="auto" w:val="clear"/>
          </w:rPr>
          <w:t>Darby</w:t>
        </w:r>
      </w:hyperlink>
      <w:r>
        <w:rPr>
          <w:i/>
          <w:color w:val="000000"/>
          <w:sz w:val="21"/>
          <w:u w:val="none"/>
          <w:shd w:fill="F8F8F8" w:color="auto" w:val="clear"/>
        </w:rPr>
        <w:t>,</w:t>
      </w:r>
      <w:r>
        <w:rPr>
          <w:i/>
          <w:color w:val="000000"/>
          <w:spacing w:val="-5"/>
          <w:sz w:val="21"/>
          <w:u w:val="none"/>
          <w:shd w:fill="F8F8F8" w:color="auto" w:val="clear"/>
        </w:rPr>
        <w:t> </w:t>
      </w:r>
      <w:r>
        <w:rPr>
          <w:i/>
          <w:color w:val="000000"/>
          <w:sz w:val="21"/>
          <w:u w:val="none"/>
          <w:shd w:fill="F8F8F8" w:color="auto" w:val="clear"/>
        </w:rPr>
        <w:t>and</w:t>
      </w:r>
      <w:r>
        <w:rPr>
          <w:i/>
          <w:color w:val="000000"/>
          <w:spacing w:val="-4"/>
          <w:sz w:val="21"/>
          <w:u w:val="none"/>
          <w:shd w:fill="F8F8F8" w:color="auto" w:val="clear"/>
        </w:rPr>
        <w:t> </w:t>
      </w:r>
      <w:hyperlink r:id="rId9">
        <w:r>
          <w:rPr>
            <w:b/>
            <w:i/>
            <w:color w:val="003399"/>
            <w:sz w:val="21"/>
            <w:u w:val="single" w:color="003399"/>
            <w:shd w:fill="F8F8F8" w:color="auto" w:val="clear"/>
          </w:rPr>
          <w:t>Emily</w:t>
        </w:r>
        <w:r>
          <w:rPr>
            <w:b/>
            <w:i/>
            <w:color w:val="003399"/>
            <w:spacing w:val="-1"/>
            <w:sz w:val="21"/>
            <w:u w:val="single" w:color="003399"/>
            <w:shd w:fill="F8F8F8" w:color="auto" w:val="clear"/>
          </w:rPr>
          <w:t> </w:t>
        </w:r>
        <w:r>
          <w:rPr>
            <w:b/>
            <w:i/>
            <w:color w:val="003399"/>
            <w:sz w:val="21"/>
            <w:u w:val="single" w:color="003399"/>
            <w:shd w:fill="F8F8F8" w:color="auto" w:val="clear"/>
          </w:rPr>
          <w:t>M.</w:t>
        </w:r>
        <w:r>
          <w:rPr>
            <w:b/>
            <w:i/>
            <w:color w:val="003399"/>
            <w:spacing w:val="-4"/>
            <w:sz w:val="21"/>
            <w:u w:val="single" w:color="003399"/>
            <w:shd w:fill="F8F8F8" w:color="auto" w:val="clear"/>
          </w:rPr>
          <w:t> </w:t>
        </w:r>
        <w:r>
          <w:rPr>
            <w:b/>
            <w:i/>
            <w:color w:val="003399"/>
            <w:sz w:val="21"/>
            <w:u w:val="single" w:color="003399"/>
            <w:shd w:fill="F8F8F8" w:color="auto" w:val="clear"/>
          </w:rPr>
          <w:t>LaSpina</w:t>
        </w:r>
        <w:r>
          <w:rPr>
            <w:i/>
            <w:color w:val="000000"/>
            <w:sz w:val="21"/>
            <w:u w:val="none"/>
            <w:shd w:fill="F8F8F8" w:color="auto" w:val="clear"/>
          </w:rPr>
          <w:t>,</w:t>
        </w:r>
      </w:hyperlink>
      <w:r>
        <w:rPr>
          <w:i/>
          <w:color w:val="000000"/>
          <w:sz w:val="21"/>
          <w:u w:val="none"/>
        </w:rPr>
        <w:t> </w:t>
      </w:r>
      <w:r>
        <w:rPr>
          <w:i/>
          <w:color w:val="000000"/>
          <w:sz w:val="21"/>
          <w:u w:val="none"/>
          <w:shd w:fill="F8F8F8" w:color="auto" w:val="clear"/>
        </w:rPr>
        <w:t>Morris, Nichols, Arsht &amp; Tunnell LLP</w:t>
      </w: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spacing w:before="92"/>
        <w:rPr>
          <w:i/>
          <w:sz w:val="24"/>
        </w:rPr>
      </w:pPr>
    </w:p>
    <w:p>
      <w:pPr>
        <w:spacing w:before="0"/>
        <w:ind w:left="890" w:right="0" w:firstLine="0"/>
        <w:jc w:val="left"/>
        <w:rPr>
          <w:rFonts w:ascii="Calibri"/>
          <w:sz w:val="24"/>
        </w:rPr>
      </w:pPr>
      <w:hyperlink r:id="rId10">
        <w:r>
          <w:rPr>
            <w:rFonts w:ascii="Calibri"/>
            <w:color w:val="00AFEF"/>
            <w:sz w:val="24"/>
          </w:rPr>
          <w:t>Read</w:t>
        </w:r>
        <w:r>
          <w:rPr>
            <w:rFonts w:ascii="Calibri"/>
            <w:color w:val="00AFEF"/>
            <w:spacing w:val="-4"/>
            <w:sz w:val="24"/>
          </w:rPr>
          <w:t> </w:t>
        </w:r>
        <w:r>
          <w:rPr>
            <w:rFonts w:ascii="Calibri"/>
            <w:color w:val="00AFEF"/>
            <w:sz w:val="24"/>
          </w:rPr>
          <w:t>Professional</w:t>
        </w:r>
        <w:r>
          <w:rPr>
            <w:rFonts w:ascii="Calibri"/>
            <w:color w:val="00AFEF"/>
            <w:spacing w:val="-4"/>
            <w:sz w:val="24"/>
          </w:rPr>
          <w:t> </w:t>
        </w:r>
        <w:r>
          <w:rPr>
            <w:rFonts w:ascii="Calibri"/>
            <w:color w:val="00AFEF"/>
            <w:sz w:val="24"/>
          </w:rPr>
          <w:t>Perspectives</w:t>
        </w:r>
        <w:r>
          <w:rPr>
            <w:rFonts w:ascii="Calibri"/>
            <w:color w:val="00AFEF"/>
            <w:spacing w:val="-11"/>
            <w:sz w:val="24"/>
          </w:rPr>
          <w:t> </w:t>
        </w:r>
        <w:r>
          <w:rPr>
            <w:rFonts w:ascii="Calibri"/>
            <w:position w:val="1"/>
            <w:sz w:val="20"/>
          </w:rPr>
          <w:t>|</w:t>
        </w:r>
      </w:hyperlink>
      <w:r>
        <w:rPr>
          <w:rFonts w:ascii="Calibri"/>
          <w:spacing w:val="-3"/>
          <w:position w:val="1"/>
          <w:sz w:val="20"/>
        </w:rPr>
        <w:t> </w:t>
      </w:r>
      <w:hyperlink r:id="rId11">
        <w:r>
          <w:rPr>
            <w:rFonts w:ascii="Calibri"/>
            <w:color w:val="00AFEF"/>
            <w:sz w:val="24"/>
          </w:rPr>
          <w:t>Become</w:t>
        </w:r>
        <w:r>
          <w:rPr>
            <w:rFonts w:ascii="Calibri"/>
            <w:color w:val="00AFEF"/>
            <w:spacing w:val="-1"/>
            <w:sz w:val="24"/>
          </w:rPr>
          <w:t> </w:t>
        </w:r>
        <w:r>
          <w:rPr>
            <w:rFonts w:ascii="Calibri"/>
            <w:color w:val="00AFEF"/>
            <w:sz w:val="24"/>
          </w:rPr>
          <w:t>a</w:t>
        </w:r>
        <w:r>
          <w:rPr>
            <w:rFonts w:ascii="Calibri"/>
            <w:color w:val="00AFEF"/>
            <w:spacing w:val="-1"/>
            <w:sz w:val="24"/>
          </w:rPr>
          <w:t> </w:t>
        </w:r>
        <w:r>
          <w:rPr>
            <w:rFonts w:ascii="Calibri"/>
            <w:color w:val="00AFEF"/>
            <w:spacing w:val="-2"/>
            <w:sz w:val="24"/>
          </w:rPr>
          <w:t>Contributor</w:t>
        </w:r>
      </w:hyperlink>
    </w:p>
    <w:p>
      <w:pPr>
        <w:spacing w:line="357" w:lineRule="auto" w:before="148"/>
        <w:ind w:left="900" w:right="4125" w:firstLine="0"/>
        <w:jc w:val="left"/>
        <w:rPr>
          <w:rFonts w:ascii="Calibri" w:hAnsi="Calibri"/>
          <w:sz w:val="16"/>
        </w:rPr>
      </w:pPr>
      <w:r>
        <w:rPr>
          <w:rFonts w:ascii="Calibri" w:hAnsi="Calibri"/>
          <w:sz w:val="16"/>
        </w:rPr>
        <w:t>Reproduced with permission. Copyright © 2024 Bloomberg Industry Group, Inc.</w:t>
      </w:r>
      <w:r>
        <w:rPr>
          <w:rFonts w:ascii="Calibri" w:hAnsi="Calibri"/>
          <w:spacing w:val="40"/>
          <w:sz w:val="16"/>
        </w:rPr>
        <w:t> </w:t>
      </w:r>
      <w:r>
        <w:rPr>
          <w:rFonts w:ascii="Calibri" w:hAnsi="Calibri"/>
          <w:sz w:val="16"/>
        </w:rPr>
        <w:t>800.372.1033.</w:t>
      </w:r>
      <w:r>
        <w:rPr>
          <w:rFonts w:ascii="Calibri" w:hAnsi="Calibri"/>
          <w:spacing w:val="-6"/>
          <w:sz w:val="16"/>
        </w:rPr>
        <w:t> </w:t>
      </w:r>
      <w:r>
        <w:rPr>
          <w:rFonts w:ascii="Calibri" w:hAnsi="Calibri"/>
          <w:sz w:val="16"/>
        </w:rPr>
        <w:t>For</w:t>
      </w:r>
      <w:r>
        <w:rPr>
          <w:rFonts w:ascii="Calibri" w:hAnsi="Calibri"/>
          <w:spacing w:val="-8"/>
          <w:sz w:val="16"/>
        </w:rPr>
        <w:t> </w:t>
      </w:r>
      <w:r>
        <w:rPr>
          <w:rFonts w:ascii="Calibri" w:hAnsi="Calibri"/>
          <w:sz w:val="16"/>
        </w:rPr>
        <w:t>further</w:t>
      </w:r>
      <w:r>
        <w:rPr>
          <w:rFonts w:ascii="Calibri" w:hAnsi="Calibri"/>
          <w:spacing w:val="-8"/>
          <w:sz w:val="16"/>
        </w:rPr>
        <w:t> </w:t>
      </w:r>
      <w:r>
        <w:rPr>
          <w:rFonts w:ascii="Calibri" w:hAnsi="Calibri"/>
          <w:sz w:val="16"/>
        </w:rPr>
        <w:t>use,</w:t>
      </w:r>
      <w:r>
        <w:rPr>
          <w:rFonts w:ascii="Calibri" w:hAnsi="Calibri"/>
          <w:spacing w:val="-6"/>
          <w:sz w:val="16"/>
        </w:rPr>
        <w:t> </w:t>
      </w:r>
      <w:r>
        <w:rPr>
          <w:rFonts w:ascii="Calibri" w:hAnsi="Calibri"/>
          <w:sz w:val="16"/>
        </w:rPr>
        <w:t>please</w:t>
      </w:r>
      <w:r>
        <w:rPr>
          <w:rFonts w:ascii="Calibri" w:hAnsi="Calibri"/>
          <w:spacing w:val="-5"/>
          <w:sz w:val="16"/>
        </w:rPr>
        <w:t> </w:t>
      </w:r>
      <w:r>
        <w:rPr>
          <w:rFonts w:ascii="Calibri" w:hAnsi="Calibri"/>
          <w:sz w:val="16"/>
        </w:rPr>
        <w:t>contact</w:t>
      </w:r>
      <w:r>
        <w:rPr>
          <w:rFonts w:ascii="Calibri" w:hAnsi="Calibri"/>
          <w:spacing w:val="-8"/>
          <w:sz w:val="16"/>
        </w:rPr>
        <w:t> </w:t>
      </w:r>
      <w:hyperlink r:id="rId12">
        <w:r>
          <w:rPr>
            <w:rFonts w:ascii="Calibri" w:hAnsi="Calibri"/>
            <w:color w:val="0562C1"/>
            <w:sz w:val="16"/>
          </w:rPr>
          <w:t>permissions@bloombergindustry.com</w:t>
        </w:r>
      </w:hyperlink>
    </w:p>
    <w:p>
      <w:pPr>
        <w:spacing w:after="0" w:line="357" w:lineRule="auto"/>
        <w:jc w:val="left"/>
        <w:rPr>
          <w:rFonts w:ascii="Calibri" w:hAnsi="Calibri"/>
          <w:sz w:val="16"/>
        </w:rPr>
        <w:sectPr>
          <w:type w:val="continuous"/>
          <w:pgSz w:w="12240" w:h="15840"/>
          <w:pgMar w:top="1820" w:bottom="0" w:left="600" w:right="520"/>
        </w:sectPr>
      </w:pPr>
    </w:p>
    <w:p>
      <w:pPr>
        <w:spacing w:before="22"/>
        <w:ind w:left="169" w:right="246" w:firstLine="0"/>
        <w:jc w:val="center"/>
        <w:rPr>
          <w:rFonts w:ascii="Calibri"/>
          <w:b/>
          <w:sz w:val="28"/>
        </w:rPr>
      </w:pPr>
      <w:r>
        <w:rPr>
          <w:rFonts w:ascii="Calibri"/>
          <w:b/>
          <w:color w:val="45B69F"/>
          <w:sz w:val="28"/>
        </w:rPr>
        <w:t>2024</w:t>
      </w:r>
      <w:r>
        <w:rPr>
          <w:rFonts w:ascii="Calibri"/>
          <w:b/>
          <w:color w:val="45B69F"/>
          <w:spacing w:val="-8"/>
          <w:sz w:val="28"/>
        </w:rPr>
        <w:t> </w:t>
      </w:r>
      <w:r>
        <w:rPr>
          <w:rFonts w:ascii="Calibri"/>
          <w:b/>
          <w:color w:val="45B69F"/>
          <w:sz w:val="28"/>
        </w:rPr>
        <w:t>Amendments</w:t>
      </w:r>
      <w:r>
        <w:rPr>
          <w:rFonts w:ascii="Calibri"/>
          <w:b/>
          <w:color w:val="45B69F"/>
          <w:spacing w:val="-4"/>
          <w:sz w:val="28"/>
        </w:rPr>
        <w:t> </w:t>
      </w:r>
      <w:r>
        <w:rPr>
          <w:rFonts w:ascii="Calibri"/>
          <w:b/>
          <w:color w:val="45B69F"/>
          <w:sz w:val="28"/>
        </w:rPr>
        <w:t>to</w:t>
      </w:r>
      <w:r>
        <w:rPr>
          <w:rFonts w:ascii="Calibri"/>
          <w:b/>
          <w:color w:val="45B69F"/>
          <w:spacing w:val="-4"/>
          <w:sz w:val="28"/>
        </w:rPr>
        <w:t> </w:t>
      </w:r>
      <w:r>
        <w:rPr>
          <w:rFonts w:ascii="Calibri"/>
          <w:b/>
          <w:color w:val="45B69F"/>
          <w:sz w:val="28"/>
        </w:rPr>
        <w:t>the</w:t>
      </w:r>
      <w:r>
        <w:rPr>
          <w:rFonts w:ascii="Calibri"/>
          <w:b/>
          <w:color w:val="45B69F"/>
          <w:spacing w:val="-4"/>
          <w:sz w:val="28"/>
        </w:rPr>
        <w:t> </w:t>
      </w:r>
      <w:r>
        <w:rPr>
          <w:rFonts w:ascii="Calibri"/>
          <w:b/>
          <w:color w:val="45B69F"/>
          <w:sz w:val="28"/>
        </w:rPr>
        <w:t>DGCL</w:t>
      </w:r>
      <w:r>
        <w:rPr>
          <w:rFonts w:ascii="Calibri"/>
          <w:b/>
          <w:color w:val="45B69F"/>
          <w:spacing w:val="-3"/>
          <w:sz w:val="28"/>
        </w:rPr>
        <w:t> </w:t>
      </w:r>
      <w:r>
        <w:rPr>
          <w:rFonts w:ascii="Calibri"/>
          <w:b/>
          <w:color w:val="45B69F"/>
          <w:sz w:val="28"/>
        </w:rPr>
        <w:t>&amp;</w:t>
      </w:r>
      <w:r>
        <w:rPr>
          <w:rFonts w:ascii="Calibri"/>
          <w:b/>
          <w:color w:val="45B69F"/>
          <w:spacing w:val="-6"/>
          <w:sz w:val="28"/>
        </w:rPr>
        <w:t> </w:t>
      </w:r>
      <w:r>
        <w:rPr>
          <w:rFonts w:ascii="Calibri"/>
          <w:b/>
          <w:color w:val="45B69F"/>
          <w:sz w:val="28"/>
        </w:rPr>
        <w:t>Delaware's</w:t>
      </w:r>
      <w:r>
        <w:rPr>
          <w:rFonts w:ascii="Calibri"/>
          <w:b/>
          <w:color w:val="45B69F"/>
          <w:spacing w:val="-4"/>
          <w:sz w:val="28"/>
        </w:rPr>
        <w:t> </w:t>
      </w:r>
      <w:r>
        <w:rPr>
          <w:rFonts w:ascii="Calibri"/>
          <w:b/>
          <w:color w:val="45B69F"/>
          <w:sz w:val="28"/>
        </w:rPr>
        <w:t>Alternative</w:t>
      </w:r>
      <w:r>
        <w:rPr>
          <w:rFonts w:ascii="Calibri"/>
          <w:b/>
          <w:color w:val="45B69F"/>
          <w:spacing w:val="-4"/>
          <w:sz w:val="28"/>
        </w:rPr>
        <w:t> </w:t>
      </w:r>
      <w:r>
        <w:rPr>
          <w:rFonts w:ascii="Calibri"/>
          <w:b/>
          <w:color w:val="45B69F"/>
          <w:sz w:val="28"/>
        </w:rPr>
        <w:t>Entity</w:t>
      </w:r>
      <w:r>
        <w:rPr>
          <w:rFonts w:ascii="Calibri"/>
          <w:b/>
          <w:color w:val="45B69F"/>
          <w:spacing w:val="-5"/>
          <w:sz w:val="28"/>
        </w:rPr>
        <w:t> </w:t>
      </w:r>
      <w:r>
        <w:rPr>
          <w:rFonts w:ascii="Calibri"/>
          <w:b/>
          <w:color w:val="45B69F"/>
          <w:spacing w:val="-2"/>
          <w:sz w:val="28"/>
        </w:rPr>
        <w:t>Statutes</w:t>
      </w:r>
    </w:p>
    <w:p>
      <w:pPr>
        <w:spacing w:line="213" w:lineRule="auto" w:before="41"/>
        <w:ind w:left="165" w:right="246" w:firstLine="0"/>
        <w:jc w:val="center"/>
        <w:rPr>
          <w:rFonts w:ascii="Calibri"/>
          <w:i/>
          <w:sz w:val="24"/>
        </w:rPr>
      </w:pPr>
      <w:r>
        <w:rPr>
          <w:rFonts w:ascii="Calibri"/>
          <w:i/>
          <w:w w:val="105"/>
          <w:sz w:val="24"/>
        </w:rPr>
        <w:t>Contributed by </w:t>
      </w:r>
      <w:hyperlink r:id="rId6">
        <w:r>
          <w:rPr>
            <w:rFonts w:ascii="Calibri"/>
            <w:b/>
            <w:i/>
            <w:color w:val="0562C1"/>
            <w:w w:val="105"/>
            <w:sz w:val="24"/>
            <w:u w:val="single" w:color="0562C1"/>
          </w:rPr>
          <w:t>David A. Harris</w:t>
        </w:r>
      </w:hyperlink>
      <w:r>
        <w:rPr>
          <w:rFonts w:ascii="Calibri"/>
          <w:i/>
          <w:w w:val="105"/>
          <w:sz w:val="24"/>
          <w:u w:val="none"/>
        </w:rPr>
        <w:t>, </w:t>
      </w:r>
      <w:hyperlink r:id="rId7">
        <w:r>
          <w:rPr>
            <w:rFonts w:ascii="Calibri"/>
            <w:b/>
            <w:i/>
            <w:color w:val="0562C1"/>
            <w:w w:val="105"/>
            <w:sz w:val="24"/>
            <w:u w:val="single" w:color="0562C1"/>
          </w:rPr>
          <w:t>Melissa A. DiVincenzo</w:t>
        </w:r>
      </w:hyperlink>
      <w:r>
        <w:rPr>
          <w:rFonts w:ascii="Calibri"/>
          <w:i/>
          <w:w w:val="105"/>
          <w:sz w:val="24"/>
          <w:u w:val="none"/>
        </w:rPr>
        <w:t>, </w:t>
      </w:r>
      <w:hyperlink r:id="rId8">
        <w:r>
          <w:rPr>
            <w:rFonts w:ascii="Calibri"/>
            <w:b/>
            <w:i/>
            <w:color w:val="0562C1"/>
            <w:w w:val="105"/>
            <w:sz w:val="24"/>
            <w:u w:val="single" w:color="0562C1"/>
          </w:rPr>
          <w:t>Matthew R. Darby</w:t>
        </w:r>
      </w:hyperlink>
      <w:r>
        <w:rPr>
          <w:rFonts w:ascii="Calibri"/>
          <w:i/>
          <w:w w:val="105"/>
          <w:sz w:val="24"/>
          <w:u w:val="none"/>
        </w:rPr>
        <w:t>, and </w:t>
      </w:r>
      <w:hyperlink r:id="rId9">
        <w:r>
          <w:rPr>
            <w:rFonts w:ascii="Calibri"/>
            <w:b/>
            <w:i/>
            <w:color w:val="0562C1"/>
            <w:w w:val="105"/>
            <w:sz w:val="24"/>
            <w:u w:val="single" w:color="0562C1"/>
          </w:rPr>
          <w:t>Emily M. LaSpina</w:t>
        </w:r>
      </w:hyperlink>
      <w:r>
        <w:rPr>
          <w:rFonts w:ascii="Calibri"/>
          <w:i/>
          <w:w w:val="105"/>
          <w:sz w:val="24"/>
          <w:u w:val="none"/>
        </w:rPr>
        <w:t>,</w:t>
      </w:r>
      <w:r>
        <w:rPr>
          <w:rFonts w:ascii="Calibri"/>
          <w:i/>
          <w:w w:val="105"/>
          <w:sz w:val="24"/>
          <w:u w:val="none"/>
        </w:rPr>
        <w:t> Morris, Nichols, Arsht &amp; Tunnell LLP</w:t>
      </w:r>
    </w:p>
    <w:p>
      <w:pPr>
        <w:pStyle w:val="BodyText"/>
        <w:spacing w:before="83"/>
        <w:rPr>
          <w:rFonts w:ascii="Calibri"/>
          <w:i/>
          <w:sz w:val="24"/>
        </w:rPr>
      </w:pPr>
    </w:p>
    <w:p>
      <w:pPr>
        <w:pStyle w:val="BodyText"/>
        <w:spacing w:line="328" w:lineRule="auto"/>
        <w:ind w:left="119" w:right="205"/>
      </w:pPr>
      <w:r>
        <w:rPr/>
        <w:t>In its 2024 session, the Delaware legislature passed a number of amendments to the Delaware General Corporation Law (DGCL) and the Delaware “alternative entity” statutes—the Delaware Limited Liability Company</w:t>
      </w:r>
      <w:r>
        <w:rPr>
          <w:spacing w:val="-1"/>
        </w:rPr>
        <w:t> </w:t>
      </w:r>
      <w:r>
        <w:rPr/>
        <w:t>Act (DLLCA), the</w:t>
      </w:r>
      <w:r>
        <w:rPr>
          <w:spacing w:val="-1"/>
        </w:rPr>
        <w:t> </w:t>
      </w:r>
      <w:r>
        <w:rPr/>
        <w:t>Delaware</w:t>
      </w:r>
      <w:r>
        <w:rPr>
          <w:spacing w:val="-1"/>
        </w:rPr>
        <w:t> </w:t>
      </w:r>
      <w:r>
        <w:rPr/>
        <w:t>Revised Uniform</w:t>
      </w:r>
      <w:r>
        <w:rPr>
          <w:spacing w:val="-2"/>
        </w:rPr>
        <w:t> </w:t>
      </w:r>
      <w:r>
        <w:rPr/>
        <w:t>Limited Partnership</w:t>
      </w:r>
      <w:r>
        <w:rPr>
          <w:spacing w:val="-2"/>
        </w:rPr>
        <w:t> </w:t>
      </w:r>
      <w:r>
        <w:rPr/>
        <w:t>Act (DRULPA), the</w:t>
      </w:r>
      <w:r>
        <w:rPr>
          <w:spacing w:val="-1"/>
        </w:rPr>
        <w:t> </w:t>
      </w:r>
      <w:r>
        <w:rPr/>
        <w:t>Delaware</w:t>
      </w:r>
      <w:r>
        <w:rPr>
          <w:spacing w:val="-1"/>
        </w:rPr>
        <w:t> </w:t>
      </w:r>
      <w:r>
        <w:rPr/>
        <w:t>Revised Uniform Partnership</w:t>
      </w:r>
      <w:r>
        <w:rPr>
          <w:spacing w:val="-3"/>
        </w:rPr>
        <w:t> </w:t>
      </w:r>
      <w:r>
        <w:rPr/>
        <w:t>Act</w:t>
      </w:r>
      <w:r>
        <w:rPr>
          <w:spacing w:val="-3"/>
        </w:rPr>
        <w:t> </w:t>
      </w:r>
      <w:r>
        <w:rPr/>
        <w:t>(DRUPA),</w:t>
      </w:r>
      <w:r>
        <w:rPr>
          <w:spacing w:val="-2"/>
        </w:rPr>
        <w:t> </w:t>
      </w:r>
      <w:r>
        <w:rPr/>
        <w:t>and</w:t>
      </w:r>
      <w:r>
        <w:rPr>
          <w:spacing w:val="-3"/>
        </w:rPr>
        <w:t> </w:t>
      </w:r>
      <w:r>
        <w:rPr/>
        <w:t>the</w:t>
      </w:r>
      <w:r>
        <w:rPr>
          <w:spacing w:val="-2"/>
        </w:rPr>
        <w:t> </w:t>
      </w:r>
      <w:r>
        <w:rPr/>
        <w:t>Delaware</w:t>
      </w:r>
      <w:r>
        <w:rPr>
          <w:spacing w:val="-2"/>
        </w:rPr>
        <w:t> </w:t>
      </w:r>
      <w:r>
        <w:rPr/>
        <w:t>Statutory</w:t>
      </w:r>
      <w:r>
        <w:rPr>
          <w:spacing w:val="-4"/>
        </w:rPr>
        <w:t> </w:t>
      </w:r>
      <w:r>
        <w:rPr/>
        <w:t>Trust</w:t>
      </w:r>
      <w:r>
        <w:rPr>
          <w:spacing w:val="-3"/>
        </w:rPr>
        <w:t> </w:t>
      </w:r>
      <w:r>
        <w:rPr/>
        <w:t>Act</w:t>
      </w:r>
      <w:r>
        <w:rPr>
          <w:spacing w:val="-1"/>
        </w:rPr>
        <w:t> </w:t>
      </w:r>
      <w:r>
        <w:rPr/>
        <w:t>(DSTA).</w:t>
      </w:r>
      <w:r>
        <w:rPr>
          <w:spacing w:val="-4"/>
        </w:rPr>
        <w:t> </w:t>
      </w:r>
      <w:r>
        <w:rPr/>
        <w:t>The</w:t>
      </w:r>
      <w:r>
        <w:rPr>
          <w:spacing w:val="-4"/>
        </w:rPr>
        <w:t> </w:t>
      </w:r>
      <w:r>
        <w:rPr/>
        <w:t>amendments</w:t>
      </w:r>
      <w:r>
        <w:rPr>
          <w:spacing w:val="-1"/>
        </w:rPr>
        <w:t> </w:t>
      </w:r>
      <w:r>
        <w:rPr/>
        <w:t>to</w:t>
      </w:r>
      <w:r>
        <w:rPr>
          <w:spacing w:val="-1"/>
        </w:rPr>
        <w:t> </w:t>
      </w:r>
      <w:r>
        <w:rPr/>
        <w:t>the</w:t>
      </w:r>
      <w:r>
        <w:rPr>
          <w:spacing w:val="-2"/>
        </w:rPr>
        <w:t> </w:t>
      </w:r>
      <w:r>
        <w:rPr/>
        <w:t>DGCL, the DLLCA, the DRULPA, the DRUPA, and the DSTA became effective on August 1, 2024, except that the amendments to the DGCL do not apply to or affect any civil action or proceeding completed or pending on or before August 1, 2024.</w:t>
      </w:r>
    </w:p>
    <w:p>
      <w:pPr>
        <w:pStyle w:val="BodyText"/>
        <w:spacing w:line="326" w:lineRule="auto" w:before="267"/>
        <w:ind w:left="119" w:right="205"/>
      </w:pPr>
      <w:r>
        <w:rPr/>
        <w:t>The</w:t>
      </w:r>
      <w:r>
        <w:rPr>
          <w:spacing w:val="-2"/>
        </w:rPr>
        <w:t> </w:t>
      </w:r>
      <w:r>
        <w:rPr/>
        <w:t>amendments</w:t>
      </w:r>
      <w:r>
        <w:rPr>
          <w:spacing w:val="-1"/>
        </w:rPr>
        <w:t> </w:t>
      </w:r>
      <w:r>
        <w:rPr/>
        <w:t>to</w:t>
      </w:r>
      <w:r>
        <w:rPr>
          <w:spacing w:val="-4"/>
        </w:rPr>
        <w:t> </w:t>
      </w:r>
      <w:r>
        <w:rPr/>
        <w:t>the</w:t>
      </w:r>
      <w:r>
        <w:rPr>
          <w:spacing w:val="-4"/>
        </w:rPr>
        <w:t> </w:t>
      </w:r>
      <w:r>
        <w:rPr/>
        <w:t>DGCL and</w:t>
      </w:r>
      <w:r>
        <w:rPr>
          <w:spacing w:val="-3"/>
        </w:rPr>
        <w:t> </w:t>
      </w:r>
      <w:r>
        <w:rPr/>
        <w:t>the</w:t>
      </w:r>
      <w:r>
        <w:rPr>
          <w:spacing w:val="-2"/>
        </w:rPr>
        <w:t> </w:t>
      </w:r>
      <w:r>
        <w:rPr/>
        <w:t>alternative</w:t>
      </w:r>
      <w:r>
        <w:rPr>
          <w:spacing w:val="-4"/>
        </w:rPr>
        <w:t> </w:t>
      </w:r>
      <w:r>
        <w:rPr/>
        <w:t>entity</w:t>
      </w:r>
      <w:r>
        <w:rPr>
          <w:spacing w:val="-2"/>
        </w:rPr>
        <w:t> </w:t>
      </w:r>
      <w:r>
        <w:rPr/>
        <w:t>statutes</w:t>
      </w:r>
      <w:r>
        <w:rPr>
          <w:spacing w:val="-1"/>
        </w:rPr>
        <w:t> </w:t>
      </w:r>
      <w:r>
        <w:rPr/>
        <w:t>effected</w:t>
      </w:r>
      <w:r>
        <w:rPr>
          <w:spacing w:val="-3"/>
        </w:rPr>
        <w:t> </w:t>
      </w:r>
      <w:r>
        <w:rPr/>
        <w:t>a</w:t>
      </w:r>
      <w:r>
        <w:rPr>
          <w:spacing w:val="-1"/>
        </w:rPr>
        <w:t> </w:t>
      </w:r>
      <w:r>
        <w:rPr/>
        <w:t>number</w:t>
      </w:r>
      <w:r>
        <w:rPr>
          <w:spacing w:val="-3"/>
        </w:rPr>
        <w:t> </w:t>
      </w:r>
      <w:r>
        <w:rPr/>
        <w:t>of</w:t>
      </w:r>
      <w:r>
        <w:rPr>
          <w:spacing w:val="-3"/>
        </w:rPr>
        <w:t> </w:t>
      </w:r>
      <w:r>
        <w:rPr/>
        <w:t>substantive,</w:t>
      </w:r>
      <w:r>
        <w:rPr>
          <w:spacing w:val="-2"/>
        </w:rPr>
        <w:t> </w:t>
      </w:r>
      <w:r>
        <w:rPr/>
        <w:t>technical, and clarifying changes. The amendments to the DGCL add several new sections intended to respond to evolving market</w:t>
      </w:r>
      <w:r>
        <w:rPr>
          <w:spacing w:val="-1"/>
        </w:rPr>
        <w:t> </w:t>
      </w:r>
      <w:r>
        <w:rPr/>
        <w:t>practice.</w:t>
      </w:r>
      <w:r>
        <w:rPr>
          <w:spacing w:val="-2"/>
        </w:rPr>
        <w:t> </w:t>
      </w:r>
      <w:r>
        <w:rPr/>
        <w:t>The</w:t>
      </w:r>
      <w:r>
        <w:rPr>
          <w:spacing w:val="-2"/>
        </w:rPr>
        <w:t> </w:t>
      </w:r>
      <w:r>
        <w:rPr/>
        <w:t>amendments to the</w:t>
      </w:r>
      <w:r>
        <w:rPr>
          <w:spacing w:val="-2"/>
        </w:rPr>
        <w:t> </w:t>
      </w:r>
      <w:r>
        <w:rPr/>
        <w:t>alternative entity statutes (i) expand</w:t>
      </w:r>
      <w:r>
        <w:rPr>
          <w:spacing w:val="-1"/>
        </w:rPr>
        <w:t> </w:t>
      </w:r>
      <w:r>
        <w:rPr/>
        <w:t>the amendments that may be made to statements of partnership existence, statements of qualification, certificates of limited partnership, certificates of formation or certificates of registered series, as applicable, by</w:t>
      </w:r>
      <w:r>
        <w:rPr>
          <w:spacing w:val="-1"/>
        </w:rPr>
        <w:t> </w:t>
      </w:r>
      <w:r>
        <w:rPr/>
        <w:t>merger certificates,</w:t>
      </w:r>
    </w:p>
    <w:p>
      <w:pPr>
        <w:pStyle w:val="ListParagraph"/>
        <w:numPr>
          <w:ilvl w:val="0"/>
          <w:numId w:val="1"/>
        </w:numPr>
        <w:tabs>
          <w:tab w:pos="402" w:val="left" w:leader="none"/>
        </w:tabs>
        <w:spacing w:line="326" w:lineRule="auto" w:before="6" w:after="0"/>
        <w:ind w:left="119" w:right="313" w:firstLine="0"/>
        <w:jc w:val="left"/>
        <w:rPr>
          <w:sz w:val="21"/>
        </w:rPr>
      </w:pPr>
      <w:r>
        <w:rPr>
          <w:sz w:val="21"/>
        </w:rPr>
        <w:t>clarify</w:t>
      </w:r>
      <w:r>
        <w:rPr>
          <w:spacing w:val="-5"/>
          <w:sz w:val="21"/>
        </w:rPr>
        <w:t> </w:t>
      </w:r>
      <w:r>
        <w:rPr>
          <w:sz w:val="21"/>
        </w:rPr>
        <w:t>certain</w:t>
      </w:r>
      <w:r>
        <w:rPr>
          <w:spacing w:val="-2"/>
          <w:sz w:val="21"/>
        </w:rPr>
        <w:t> </w:t>
      </w:r>
      <w:r>
        <w:rPr>
          <w:sz w:val="21"/>
        </w:rPr>
        <w:t>of</w:t>
      </w:r>
      <w:r>
        <w:rPr>
          <w:spacing w:val="-4"/>
          <w:sz w:val="21"/>
        </w:rPr>
        <w:t> </w:t>
      </w:r>
      <w:r>
        <w:rPr>
          <w:sz w:val="21"/>
        </w:rPr>
        <w:t>the</w:t>
      </w:r>
      <w:r>
        <w:rPr>
          <w:spacing w:val="-5"/>
          <w:sz w:val="21"/>
        </w:rPr>
        <w:t> </w:t>
      </w:r>
      <w:r>
        <w:rPr>
          <w:sz w:val="21"/>
        </w:rPr>
        <w:t>mechanisms</w:t>
      </w:r>
      <w:r>
        <w:rPr>
          <w:spacing w:val="-2"/>
          <w:sz w:val="21"/>
        </w:rPr>
        <w:t> </w:t>
      </w:r>
      <w:r>
        <w:rPr>
          <w:sz w:val="21"/>
        </w:rPr>
        <w:t>for</w:t>
      </w:r>
      <w:r>
        <w:rPr>
          <w:spacing w:val="-2"/>
          <w:sz w:val="21"/>
        </w:rPr>
        <w:t> </w:t>
      </w:r>
      <w:r>
        <w:rPr>
          <w:sz w:val="21"/>
        </w:rPr>
        <w:t>revoking</w:t>
      </w:r>
      <w:r>
        <w:rPr>
          <w:spacing w:val="-2"/>
          <w:sz w:val="21"/>
        </w:rPr>
        <w:t> </w:t>
      </w:r>
      <w:r>
        <w:rPr>
          <w:sz w:val="21"/>
        </w:rPr>
        <w:t>termination</w:t>
      </w:r>
      <w:r>
        <w:rPr>
          <w:spacing w:val="-4"/>
          <w:sz w:val="21"/>
        </w:rPr>
        <w:t> </w:t>
      </w:r>
      <w:r>
        <w:rPr>
          <w:sz w:val="21"/>
        </w:rPr>
        <w:t>of</w:t>
      </w:r>
      <w:r>
        <w:rPr>
          <w:spacing w:val="-1"/>
          <w:sz w:val="21"/>
        </w:rPr>
        <w:t> </w:t>
      </w:r>
      <w:r>
        <w:rPr>
          <w:sz w:val="21"/>
        </w:rPr>
        <w:t>a</w:t>
      </w:r>
      <w:r>
        <w:rPr>
          <w:spacing w:val="-4"/>
          <w:sz w:val="21"/>
        </w:rPr>
        <w:t> </w:t>
      </w:r>
      <w:r>
        <w:rPr>
          <w:sz w:val="21"/>
        </w:rPr>
        <w:t>protected</w:t>
      </w:r>
      <w:r>
        <w:rPr>
          <w:spacing w:val="-2"/>
          <w:sz w:val="21"/>
        </w:rPr>
        <w:t> </w:t>
      </w:r>
      <w:r>
        <w:rPr>
          <w:sz w:val="21"/>
        </w:rPr>
        <w:t>series,</w:t>
      </w:r>
      <w:r>
        <w:rPr>
          <w:spacing w:val="-1"/>
          <w:sz w:val="21"/>
        </w:rPr>
        <w:t> </w:t>
      </w:r>
      <w:r>
        <w:rPr>
          <w:sz w:val="21"/>
        </w:rPr>
        <w:t>dissolution</w:t>
      </w:r>
      <w:r>
        <w:rPr>
          <w:spacing w:val="-4"/>
          <w:sz w:val="21"/>
        </w:rPr>
        <w:t> </w:t>
      </w:r>
      <w:r>
        <w:rPr>
          <w:sz w:val="21"/>
        </w:rPr>
        <w:t>of</w:t>
      </w:r>
      <w:r>
        <w:rPr>
          <w:spacing w:val="-4"/>
          <w:sz w:val="21"/>
        </w:rPr>
        <w:t> </w:t>
      </w:r>
      <w:r>
        <w:rPr>
          <w:sz w:val="21"/>
        </w:rPr>
        <w:t>a</w:t>
      </w:r>
      <w:r>
        <w:rPr>
          <w:spacing w:val="-2"/>
          <w:sz w:val="21"/>
        </w:rPr>
        <w:t> </w:t>
      </w:r>
      <w:r>
        <w:rPr>
          <w:sz w:val="21"/>
        </w:rPr>
        <w:t>registered series, dissolution of a limited liability company and dissolution of a limited partnership, as applicable, and</w:t>
      </w:r>
    </w:p>
    <w:p>
      <w:pPr>
        <w:pStyle w:val="ListParagraph"/>
        <w:numPr>
          <w:ilvl w:val="0"/>
          <w:numId w:val="1"/>
        </w:numPr>
        <w:tabs>
          <w:tab w:pos="454" w:val="left" w:leader="none"/>
        </w:tabs>
        <w:spacing w:line="240" w:lineRule="auto" w:before="3" w:after="0"/>
        <w:ind w:left="454" w:right="0" w:hanging="335"/>
        <w:jc w:val="left"/>
        <w:rPr>
          <w:sz w:val="21"/>
        </w:rPr>
      </w:pPr>
      <w:r>
        <w:rPr>
          <w:sz w:val="21"/>
        </w:rPr>
        <w:t>confirm</w:t>
      </w:r>
      <w:r>
        <w:rPr>
          <w:spacing w:val="-7"/>
          <w:sz w:val="21"/>
        </w:rPr>
        <w:t> </w:t>
      </w:r>
      <w:r>
        <w:rPr>
          <w:sz w:val="21"/>
        </w:rPr>
        <w:t>that</w:t>
      </w:r>
      <w:r>
        <w:rPr>
          <w:spacing w:val="-7"/>
          <w:sz w:val="21"/>
        </w:rPr>
        <w:t> </w:t>
      </w:r>
      <w:r>
        <w:rPr>
          <w:sz w:val="21"/>
        </w:rPr>
        <w:t>pass-through</w:t>
      </w:r>
      <w:r>
        <w:rPr>
          <w:spacing w:val="-5"/>
          <w:sz w:val="21"/>
        </w:rPr>
        <w:t> </w:t>
      </w:r>
      <w:r>
        <w:rPr>
          <w:sz w:val="21"/>
        </w:rPr>
        <w:t>voting</w:t>
      </w:r>
      <w:r>
        <w:rPr>
          <w:spacing w:val="-5"/>
          <w:sz w:val="21"/>
        </w:rPr>
        <w:t> </w:t>
      </w:r>
      <w:r>
        <w:rPr>
          <w:sz w:val="21"/>
        </w:rPr>
        <w:t>is</w:t>
      </w:r>
      <w:r>
        <w:rPr>
          <w:spacing w:val="-6"/>
          <w:sz w:val="21"/>
        </w:rPr>
        <w:t> </w:t>
      </w:r>
      <w:r>
        <w:rPr>
          <w:sz w:val="21"/>
        </w:rPr>
        <w:t>permissible</w:t>
      </w:r>
      <w:r>
        <w:rPr>
          <w:spacing w:val="-6"/>
          <w:sz w:val="21"/>
        </w:rPr>
        <w:t> </w:t>
      </w:r>
      <w:r>
        <w:rPr>
          <w:sz w:val="21"/>
        </w:rPr>
        <w:t>for</w:t>
      </w:r>
      <w:r>
        <w:rPr>
          <w:spacing w:val="-5"/>
          <w:sz w:val="21"/>
        </w:rPr>
        <w:t> </w:t>
      </w:r>
      <w:r>
        <w:rPr>
          <w:sz w:val="21"/>
        </w:rPr>
        <w:t>securities</w:t>
      </w:r>
      <w:r>
        <w:rPr>
          <w:spacing w:val="-7"/>
          <w:sz w:val="21"/>
        </w:rPr>
        <w:t> </w:t>
      </w:r>
      <w:r>
        <w:rPr>
          <w:sz w:val="21"/>
        </w:rPr>
        <w:t>held</w:t>
      </w:r>
      <w:r>
        <w:rPr>
          <w:spacing w:val="-6"/>
          <w:sz w:val="21"/>
        </w:rPr>
        <w:t> </w:t>
      </w:r>
      <w:r>
        <w:rPr>
          <w:sz w:val="21"/>
        </w:rPr>
        <w:t>by</w:t>
      </w:r>
      <w:r>
        <w:rPr>
          <w:spacing w:val="-6"/>
          <w:sz w:val="21"/>
        </w:rPr>
        <w:t> </w:t>
      </w:r>
      <w:r>
        <w:rPr>
          <w:sz w:val="21"/>
        </w:rPr>
        <w:t>a</w:t>
      </w:r>
      <w:r>
        <w:rPr>
          <w:spacing w:val="-7"/>
          <w:sz w:val="21"/>
        </w:rPr>
        <w:t> </w:t>
      </w:r>
      <w:r>
        <w:rPr>
          <w:sz w:val="21"/>
        </w:rPr>
        <w:t>statutory</w:t>
      </w:r>
      <w:r>
        <w:rPr>
          <w:spacing w:val="-5"/>
          <w:sz w:val="21"/>
        </w:rPr>
        <w:t> </w:t>
      </w:r>
      <w:r>
        <w:rPr>
          <w:spacing w:val="-2"/>
          <w:sz w:val="21"/>
        </w:rPr>
        <w:t>trust.</w:t>
      </w:r>
    </w:p>
    <w:p>
      <w:pPr>
        <w:pStyle w:val="BodyText"/>
        <w:spacing w:before="99"/>
      </w:pPr>
    </w:p>
    <w:p>
      <w:pPr>
        <w:pStyle w:val="Heading1"/>
        <w:spacing w:before="1"/>
        <w:ind w:left="119"/>
      </w:pPr>
      <w:r>
        <w:rPr/>
        <w:t>Amendments</w:t>
      </w:r>
      <w:r>
        <w:rPr>
          <w:spacing w:val="-7"/>
        </w:rPr>
        <w:t> </w:t>
      </w:r>
      <w:r>
        <w:rPr/>
        <w:t>to</w:t>
      </w:r>
      <w:r>
        <w:rPr>
          <w:spacing w:val="-4"/>
        </w:rPr>
        <w:t> </w:t>
      </w:r>
      <w:r>
        <w:rPr/>
        <w:t>the</w:t>
      </w:r>
      <w:r>
        <w:rPr>
          <w:spacing w:val="-4"/>
        </w:rPr>
        <w:t> DGCL</w:t>
      </w:r>
    </w:p>
    <w:p>
      <w:pPr>
        <w:pStyle w:val="BodyText"/>
        <w:spacing w:before="97"/>
        <w:rPr>
          <w:b/>
        </w:rPr>
      </w:pPr>
    </w:p>
    <w:p>
      <w:pPr>
        <w:pStyle w:val="Heading2"/>
        <w:ind w:left="119"/>
        <w:rPr>
          <w:i/>
        </w:rPr>
      </w:pPr>
      <w:r>
        <w:rPr>
          <w:i/>
        </w:rPr>
        <w:t>Stockholder</w:t>
      </w:r>
      <w:r>
        <w:rPr>
          <w:i/>
          <w:spacing w:val="-8"/>
        </w:rPr>
        <w:t> </w:t>
      </w:r>
      <w:r>
        <w:rPr>
          <w:i/>
          <w:spacing w:val="-2"/>
        </w:rPr>
        <w:t>Agreements</w:t>
      </w:r>
    </w:p>
    <w:p>
      <w:pPr>
        <w:pStyle w:val="BodyText"/>
        <w:spacing w:before="95"/>
        <w:rPr>
          <w:b/>
          <w:i/>
        </w:rPr>
      </w:pPr>
    </w:p>
    <w:p>
      <w:pPr>
        <w:pStyle w:val="BodyText"/>
        <w:spacing w:line="326" w:lineRule="auto"/>
        <w:ind w:left="119" w:right="205"/>
      </w:pPr>
      <w:r>
        <w:rPr/>
        <w:t>Section 122, which lists specific powers that a corporation may exercise, has been amended to add a new paragraph 18. </w:t>
      </w:r>
      <w:hyperlink r:id="rId14">
        <w:r>
          <w:rPr>
            <w:b/>
            <w:color w:val="0562C1"/>
            <w:u w:val="single" w:color="0562C1"/>
          </w:rPr>
          <w:t>Section 122(18)</w:t>
        </w:r>
      </w:hyperlink>
      <w:r>
        <w:rPr>
          <w:b/>
          <w:color w:val="0562C1"/>
          <w:u w:val="none"/>
        </w:rPr>
        <w:t> </w:t>
      </w:r>
      <w:r>
        <w:rPr>
          <w:u w:val="none"/>
        </w:rPr>
        <w:t>empowers a corporation to enter into contracts with current or prospective stockholders</w:t>
      </w:r>
      <w:r>
        <w:rPr>
          <w:spacing w:val="-3"/>
          <w:u w:val="none"/>
        </w:rPr>
        <w:t> </w:t>
      </w:r>
      <w:r>
        <w:rPr>
          <w:u w:val="none"/>
        </w:rPr>
        <w:t>and</w:t>
      </w:r>
      <w:r>
        <w:rPr>
          <w:spacing w:val="-3"/>
          <w:u w:val="none"/>
        </w:rPr>
        <w:t> </w:t>
      </w:r>
      <w:r>
        <w:rPr>
          <w:u w:val="none"/>
        </w:rPr>
        <w:t>provides</w:t>
      </w:r>
      <w:r>
        <w:rPr>
          <w:spacing w:val="-1"/>
          <w:u w:val="none"/>
        </w:rPr>
        <w:t> </w:t>
      </w:r>
      <w:r>
        <w:rPr>
          <w:u w:val="none"/>
        </w:rPr>
        <w:t>a</w:t>
      </w:r>
      <w:r>
        <w:rPr>
          <w:spacing w:val="-1"/>
          <w:u w:val="none"/>
        </w:rPr>
        <w:t> </w:t>
      </w:r>
      <w:r>
        <w:rPr>
          <w:u w:val="none"/>
        </w:rPr>
        <w:t>nonexclusive</w:t>
      </w:r>
      <w:r>
        <w:rPr>
          <w:spacing w:val="-2"/>
          <w:u w:val="none"/>
        </w:rPr>
        <w:t> </w:t>
      </w:r>
      <w:r>
        <w:rPr>
          <w:u w:val="none"/>
        </w:rPr>
        <w:t>list</w:t>
      </w:r>
      <w:r>
        <w:rPr>
          <w:spacing w:val="-1"/>
          <w:u w:val="none"/>
        </w:rPr>
        <w:t> </w:t>
      </w:r>
      <w:r>
        <w:rPr>
          <w:u w:val="none"/>
        </w:rPr>
        <w:t>of</w:t>
      </w:r>
      <w:r>
        <w:rPr>
          <w:spacing w:val="-3"/>
          <w:u w:val="none"/>
        </w:rPr>
        <w:t> </w:t>
      </w:r>
      <w:r>
        <w:rPr>
          <w:u w:val="none"/>
        </w:rPr>
        <w:t>provisions</w:t>
      </w:r>
      <w:r>
        <w:rPr>
          <w:spacing w:val="-1"/>
          <w:u w:val="none"/>
        </w:rPr>
        <w:t> </w:t>
      </w:r>
      <w:r>
        <w:rPr>
          <w:u w:val="none"/>
        </w:rPr>
        <w:t>that</w:t>
      </w:r>
      <w:r>
        <w:rPr>
          <w:spacing w:val="-3"/>
          <w:u w:val="none"/>
        </w:rPr>
        <w:t> </w:t>
      </w:r>
      <w:r>
        <w:rPr>
          <w:u w:val="none"/>
        </w:rPr>
        <w:t>may</w:t>
      </w:r>
      <w:r>
        <w:rPr>
          <w:spacing w:val="-4"/>
          <w:u w:val="none"/>
        </w:rPr>
        <w:t> </w:t>
      </w:r>
      <w:r>
        <w:rPr>
          <w:u w:val="none"/>
        </w:rPr>
        <w:t>be</w:t>
      </w:r>
      <w:r>
        <w:rPr>
          <w:spacing w:val="-2"/>
          <w:u w:val="none"/>
        </w:rPr>
        <w:t> </w:t>
      </w:r>
      <w:r>
        <w:rPr>
          <w:u w:val="none"/>
        </w:rPr>
        <w:t>included</w:t>
      </w:r>
      <w:r>
        <w:rPr>
          <w:spacing w:val="-3"/>
          <w:u w:val="none"/>
        </w:rPr>
        <w:t> </w:t>
      </w:r>
      <w:r>
        <w:rPr>
          <w:u w:val="none"/>
        </w:rPr>
        <w:t>in</w:t>
      </w:r>
      <w:r>
        <w:rPr>
          <w:spacing w:val="-1"/>
          <w:u w:val="none"/>
        </w:rPr>
        <w:t> </w:t>
      </w:r>
      <w:r>
        <w:rPr>
          <w:u w:val="none"/>
        </w:rPr>
        <w:t>such</w:t>
      </w:r>
      <w:r>
        <w:rPr>
          <w:spacing w:val="-3"/>
          <w:u w:val="none"/>
        </w:rPr>
        <w:t> </w:t>
      </w:r>
      <w:r>
        <w:rPr>
          <w:u w:val="none"/>
        </w:rPr>
        <w:t>contracts.</w:t>
      </w:r>
      <w:r>
        <w:rPr>
          <w:spacing w:val="-2"/>
          <w:u w:val="none"/>
        </w:rPr>
        <w:t> </w:t>
      </w:r>
      <w:r>
        <w:rPr>
          <w:u w:val="none"/>
        </w:rPr>
        <w:t>Under</w:t>
      </w:r>
      <w:r>
        <w:rPr>
          <w:spacing w:val="-3"/>
          <w:u w:val="none"/>
        </w:rPr>
        <w:t> </w:t>
      </w:r>
      <w:r>
        <w:rPr>
          <w:u w:val="none"/>
        </w:rPr>
        <w:t>the new provisions, a corporation may agree (i) to take or not take future actions, (ii) to obtain approvals before taking future action (including from specified directors or stockholders) and (iii) that other persons</w:t>
      </w:r>
      <w:r>
        <w:rPr>
          <w:spacing w:val="-1"/>
          <w:u w:val="none"/>
        </w:rPr>
        <w:t> </w:t>
      </w:r>
      <w:r>
        <w:rPr>
          <w:u w:val="none"/>
        </w:rPr>
        <w:t>or bodies (including directors or stockholders) will take or not take specified future actions and such arrangements will not</w:t>
      </w:r>
      <w:r>
        <w:rPr>
          <w:spacing w:val="-1"/>
          <w:u w:val="none"/>
        </w:rPr>
        <w:t> </w:t>
      </w:r>
      <w:r>
        <w:rPr>
          <w:u w:val="none"/>
        </w:rPr>
        <w:t>violate</w:t>
      </w:r>
      <w:r>
        <w:rPr>
          <w:spacing w:val="-4"/>
          <w:u w:val="none"/>
        </w:rPr>
        <w:t> </w:t>
      </w:r>
      <w:hyperlink r:id="rId15">
        <w:r>
          <w:rPr>
            <w:b/>
            <w:color w:val="0562C1"/>
            <w:u w:val="single" w:color="0562C1"/>
          </w:rPr>
          <w:t>Section</w:t>
        </w:r>
        <w:r>
          <w:rPr>
            <w:b/>
            <w:color w:val="0562C1"/>
            <w:spacing w:val="-3"/>
            <w:u w:val="single" w:color="0562C1"/>
          </w:rPr>
          <w:t> </w:t>
        </w:r>
        <w:r>
          <w:rPr>
            <w:b/>
            <w:color w:val="0562C1"/>
            <w:u w:val="single" w:color="0562C1"/>
          </w:rPr>
          <w:t>141(a)</w:t>
        </w:r>
        <w:r>
          <w:rPr>
            <w:u w:val="none"/>
          </w:rPr>
          <w:t>.</w:t>
        </w:r>
      </w:hyperlink>
      <w:r>
        <w:rPr>
          <w:spacing w:val="-2"/>
          <w:u w:val="none"/>
        </w:rPr>
        <w:t> </w:t>
      </w:r>
      <w:r>
        <w:rPr>
          <w:u w:val="none"/>
        </w:rPr>
        <w:t>The</w:t>
      </w:r>
      <w:r>
        <w:rPr>
          <w:spacing w:val="-4"/>
          <w:u w:val="none"/>
        </w:rPr>
        <w:t> </w:t>
      </w:r>
      <w:r>
        <w:rPr>
          <w:u w:val="none"/>
        </w:rPr>
        <w:t>corporation</w:t>
      </w:r>
      <w:r>
        <w:rPr>
          <w:spacing w:val="-3"/>
          <w:u w:val="none"/>
        </w:rPr>
        <w:t> </w:t>
      </w:r>
      <w:r>
        <w:rPr>
          <w:u w:val="none"/>
        </w:rPr>
        <w:t>must</w:t>
      </w:r>
      <w:r>
        <w:rPr>
          <w:spacing w:val="-3"/>
          <w:u w:val="none"/>
        </w:rPr>
        <w:t> </w:t>
      </w:r>
      <w:r>
        <w:rPr>
          <w:u w:val="none"/>
        </w:rPr>
        <w:t>receive</w:t>
      </w:r>
      <w:r>
        <w:rPr>
          <w:spacing w:val="-2"/>
          <w:u w:val="none"/>
        </w:rPr>
        <w:t> </w:t>
      </w:r>
      <w:r>
        <w:rPr>
          <w:u w:val="none"/>
        </w:rPr>
        <w:t>consideration</w:t>
      </w:r>
      <w:r>
        <w:rPr>
          <w:spacing w:val="-1"/>
          <w:u w:val="none"/>
        </w:rPr>
        <w:t> </w:t>
      </w:r>
      <w:r>
        <w:rPr>
          <w:u w:val="none"/>
        </w:rPr>
        <w:t>in</w:t>
      </w:r>
      <w:r>
        <w:rPr>
          <w:spacing w:val="-3"/>
          <w:u w:val="none"/>
        </w:rPr>
        <w:t> </w:t>
      </w:r>
      <w:r>
        <w:rPr>
          <w:u w:val="none"/>
        </w:rPr>
        <w:t>exchange</w:t>
      </w:r>
      <w:r>
        <w:rPr>
          <w:spacing w:val="-4"/>
          <w:u w:val="none"/>
        </w:rPr>
        <w:t> </w:t>
      </w:r>
      <w:r>
        <w:rPr>
          <w:u w:val="none"/>
        </w:rPr>
        <w:t>for</w:t>
      </w:r>
      <w:r>
        <w:rPr>
          <w:spacing w:val="-3"/>
          <w:u w:val="none"/>
        </w:rPr>
        <w:t> </w:t>
      </w:r>
      <w:r>
        <w:rPr>
          <w:u w:val="none"/>
        </w:rPr>
        <w:t>such</w:t>
      </w:r>
      <w:r>
        <w:rPr>
          <w:spacing w:val="-1"/>
          <w:u w:val="none"/>
        </w:rPr>
        <w:t> </w:t>
      </w:r>
      <w:r>
        <w:rPr>
          <w:u w:val="none"/>
        </w:rPr>
        <w:t>agreements, the minimum</w:t>
      </w:r>
      <w:r>
        <w:rPr>
          <w:spacing w:val="-3"/>
          <w:u w:val="none"/>
        </w:rPr>
        <w:t> </w:t>
      </w:r>
      <w:r>
        <w:rPr>
          <w:u w:val="none"/>
        </w:rPr>
        <w:t>amount</w:t>
      </w:r>
      <w:r>
        <w:rPr>
          <w:spacing w:val="-3"/>
          <w:u w:val="none"/>
        </w:rPr>
        <w:t> </w:t>
      </w:r>
      <w:r>
        <w:rPr>
          <w:u w:val="none"/>
        </w:rPr>
        <w:t>of which</w:t>
      </w:r>
      <w:r>
        <w:rPr>
          <w:spacing w:val="-3"/>
          <w:u w:val="none"/>
        </w:rPr>
        <w:t> </w:t>
      </w:r>
      <w:r>
        <w:rPr>
          <w:u w:val="none"/>
        </w:rPr>
        <w:t>must</w:t>
      </w:r>
      <w:r>
        <w:rPr>
          <w:spacing w:val="-3"/>
          <w:u w:val="none"/>
        </w:rPr>
        <w:t> </w:t>
      </w:r>
      <w:r>
        <w:rPr>
          <w:u w:val="none"/>
        </w:rPr>
        <w:t>be</w:t>
      </w:r>
      <w:r>
        <w:rPr>
          <w:spacing w:val="-2"/>
          <w:u w:val="none"/>
        </w:rPr>
        <w:t> </w:t>
      </w:r>
      <w:r>
        <w:rPr>
          <w:u w:val="none"/>
        </w:rPr>
        <w:t>determined</w:t>
      </w:r>
      <w:r>
        <w:rPr>
          <w:spacing w:val="-3"/>
          <w:u w:val="none"/>
        </w:rPr>
        <w:t> </w:t>
      </w:r>
      <w:r>
        <w:rPr>
          <w:u w:val="none"/>
        </w:rPr>
        <w:t>by</w:t>
      </w:r>
      <w:r>
        <w:rPr>
          <w:spacing w:val="-2"/>
          <w:u w:val="none"/>
        </w:rPr>
        <w:t> </w:t>
      </w:r>
      <w:r>
        <w:rPr>
          <w:u w:val="none"/>
        </w:rPr>
        <w:t>the</w:t>
      </w:r>
      <w:r>
        <w:rPr>
          <w:spacing w:val="-2"/>
          <w:u w:val="none"/>
        </w:rPr>
        <w:t> </w:t>
      </w:r>
      <w:r>
        <w:rPr>
          <w:u w:val="none"/>
        </w:rPr>
        <w:t>board</w:t>
      </w:r>
      <w:r>
        <w:rPr>
          <w:spacing w:val="-1"/>
          <w:u w:val="none"/>
        </w:rPr>
        <w:t> </w:t>
      </w:r>
      <w:r>
        <w:rPr>
          <w:u w:val="none"/>
        </w:rPr>
        <w:t>(or</w:t>
      </w:r>
      <w:r>
        <w:rPr>
          <w:spacing w:val="-3"/>
          <w:u w:val="none"/>
        </w:rPr>
        <w:t> </w:t>
      </w:r>
      <w:r>
        <w:rPr>
          <w:u w:val="none"/>
        </w:rPr>
        <w:t>a</w:t>
      </w:r>
      <w:r>
        <w:rPr>
          <w:spacing w:val="-3"/>
          <w:u w:val="none"/>
        </w:rPr>
        <w:t> </w:t>
      </w:r>
      <w:r>
        <w:rPr>
          <w:u w:val="none"/>
        </w:rPr>
        <w:t>committee).</w:t>
      </w:r>
      <w:r>
        <w:rPr>
          <w:spacing w:val="-2"/>
          <w:u w:val="none"/>
        </w:rPr>
        <w:t> </w:t>
      </w:r>
      <w:r>
        <w:rPr>
          <w:u w:val="none"/>
        </w:rPr>
        <w:t>Section</w:t>
      </w:r>
      <w:r>
        <w:rPr>
          <w:spacing w:val="-1"/>
          <w:u w:val="none"/>
        </w:rPr>
        <w:t> </w:t>
      </w:r>
      <w:r>
        <w:rPr>
          <w:u w:val="none"/>
        </w:rPr>
        <w:t>122(18)</w:t>
      </w:r>
      <w:r>
        <w:rPr>
          <w:spacing w:val="-1"/>
          <w:u w:val="none"/>
        </w:rPr>
        <w:t> </w:t>
      </w:r>
      <w:r>
        <w:rPr>
          <w:u w:val="none"/>
        </w:rPr>
        <w:t>was</w:t>
      </w:r>
      <w:r>
        <w:rPr>
          <w:spacing w:val="-1"/>
          <w:u w:val="none"/>
        </w:rPr>
        <w:t> </w:t>
      </w:r>
      <w:r>
        <w:rPr>
          <w:u w:val="none"/>
        </w:rPr>
        <w:t>added</w:t>
      </w:r>
      <w:r>
        <w:rPr>
          <w:spacing w:val="-1"/>
          <w:u w:val="none"/>
        </w:rPr>
        <w:t> </w:t>
      </w:r>
      <w:r>
        <w:rPr>
          <w:u w:val="none"/>
        </w:rPr>
        <w:t>in response to the Court of Chancery's decision in </w:t>
      </w:r>
      <w:r>
        <w:rPr>
          <w:i/>
          <w:u w:val="none"/>
        </w:rPr>
        <w:t>West Palm Beach Firefighters’ Pension Fund v. Moelis &amp; Co</w:t>
      </w:r>
      <w:r>
        <w:rPr>
          <w:u w:val="none"/>
        </w:rPr>
        <w:t>., </w:t>
      </w:r>
      <w:hyperlink r:id="rId16">
        <w:r>
          <w:rPr>
            <w:b/>
            <w:color w:val="0562C1"/>
            <w:u w:val="single" w:color="0562C1"/>
          </w:rPr>
          <w:t>311</w:t>
        </w:r>
      </w:hyperlink>
      <w:r>
        <w:rPr>
          <w:b/>
          <w:color w:val="0562C1"/>
          <w:u w:val="none"/>
        </w:rPr>
        <w:t> </w:t>
      </w:r>
      <w:hyperlink r:id="rId16">
        <w:r>
          <w:rPr>
            <w:b/>
            <w:color w:val="0562C1"/>
            <w:u w:val="single" w:color="0562C1"/>
          </w:rPr>
          <w:t>A.3d 809</w:t>
        </w:r>
      </w:hyperlink>
      <w:r>
        <w:rPr>
          <w:b/>
          <w:color w:val="0562C1"/>
          <w:u w:val="none"/>
        </w:rPr>
        <w:t> </w:t>
      </w:r>
      <w:r>
        <w:rPr>
          <w:u w:val="none"/>
        </w:rPr>
        <w:t>(Del. Ch. 2024), which held that certain governance arrangements in an agreement between the corporation and its stockholders implicate Section 141(a) and must be included in the certificate of incorporation to be valid.</w:t>
      </w:r>
    </w:p>
    <w:p>
      <w:pPr>
        <w:spacing w:after="0" w:line="326" w:lineRule="auto"/>
        <w:sectPr>
          <w:footerReference w:type="default" r:id="rId13"/>
          <w:pgSz w:w="12240" w:h="15840"/>
          <w:pgMar w:header="0" w:footer="272" w:top="640" w:bottom="460" w:left="600" w:right="520"/>
          <w:pgNumType w:start="2"/>
        </w:sectPr>
      </w:pPr>
    </w:p>
    <w:p>
      <w:pPr>
        <w:pStyle w:val="BodyText"/>
        <w:spacing w:line="326" w:lineRule="auto" w:before="84"/>
        <w:ind w:left="119" w:right="304"/>
      </w:pPr>
      <w:r>
        <w:rPr/>
        <w:t>Section 122(18) is not intended to affect the fiduciary duties owed by directors, officers and stockholders, including any duties implicated in causing the corporation to enter into, perform or breach contracts. In addition,</w:t>
      </w:r>
      <w:r>
        <w:rPr>
          <w:spacing w:val="-1"/>
        </w:rPr>
        <w:t> </w:t>
      </w:r>
      <w:r>
        <w:rPr/>
        <w:t>no</w:t>
      </w:r>
      <w:r>
        <w:rPr>
          <w:spacing w:val="-2"/>
        </w:rPr>
        <w:t> </w:t>
      </w:r>
      <w:r>
        <w:rPr/>
        <w:t>provision</w:t>
      </w:r>
      <w:r>
        <w:rPr>
          <w:spacing w:val="-4"/>
        </w:rPr>
        <w:t> </w:t>
      </w:r>
      <w:r>
        <w:rPr/>
        <w:t>of</w:t>
      </w:r>
      <w:r>
        <w:rPr>
          <w:spacing w:val="-4"/>
        </w:rPr>
        <w:t> </w:t>
      </w:r>
      <w:r>
        <w:rPr/>
        <w:t>a</w:t>
      </w:r>
      <w:r>
        <w:rPr>
          <w:spacing w:val="-2"/>
        </w:rPr>
        <w:t> </w:t>
      </w:r>
      <w:r>
        <w:rPr/>
        <w:t>Section</w:t>
      </w:r>
      <w:r>
        <w:rPr>
          <w:spacing w:val="-4"/>
        </w:rPr>
        <w:t> </w:t>
      </w:r>
      <w:r>
        <w:rPr/>
        <w:t>122(18)</w:t>
      </w:r>
      <w:r>
        <w:rPr>
          <w:spacing w:val="-2"/>
        </w:rPr>
        <w:t> </w:t>
      </w:r>
      <w:r>
        <w:rPr/>
        <w:t>contract</w:t>
      </w:r>
      <w:r>
        <w:rPr>
          <w:spacing w:val="-2"/>
        </w:rPr>
        <w:t> </w:t>
      </w:r>
      <w:r>
        <w:rPr/>
        <w:t>is</w:t>
      </w:r>
      <w:r>
        <w:rPr>
          <w:spacing w:val="-2"/>
        </w:rPr>
        <w:t> </w:t>
      </w:r>
      <w:r>
        <w:rPr/>
        <w:t>enforceable</w:t>
      </w:r>
      <w:r>
        <w:rPr>
          <w:spacing w:val="-3"/>
        </w:rPr>
        <w:t> </w:t>
      </w:r>
      <w:r>
        <w:rPr/>
        <w:t>against</w:t>
      </w:r>
      <w:r>
        <w:rPr>
          <w:spacing w:val="-2"/>
        </w:rPr>
        <w:t> </w:t>
      </w:r>
      <w:r>
        <w:rPr/>
        <w:t>the</w:t>
      </w:r>
      <w:r>
        <w:rPr>
          <w:spacing w:val="-3"/>
        </w:rPr>
        <w:t> </w:t>
      </w:r>
      <w:r>
        <w:rPr/>
        <w:t>corporation</w:t>
      </w:r>
      <w:r>
        <w:rPr>
          <w:spacing w:val="-2"/>
        </w:rPr>
        <w:t> </w:t>
      </w:r>
      <w:r>
        <w:rPr/>
        <w:t>if</w:t>
      </w:r>
      <w:r>
        <w:rPr>
          <w:spacing w:val="-4"/>
        </w:rPr>
        <w:t> </w:t>
      </w:r>
      <w:r>
        <w:rPr/>
        <w:t>it</w:t>
      </w:r>
      <w:r>
        <w:rPr>
          <w:spacing w:val="-2"/>
        </w:rPr>
        <w:t> </w:t>
      </w:r>
      <w:r>
        <w:rPr/>
        <w:t>conflicts</w:t>
      </w:r>
      <w:r>
        <w:rPr>
          <w:spacing w:val="-2"/>
        </w:rPr>
        <w:t> </w:t>
      </w:r>
      <w:r>
        <w:rPr/>
        <w:t>with the certificate of incorporation or would conflict with Delaware law if included in the certificate of incorporation (other than </w:t>
      </w:r>
      <w:hyperlink r:id="rId17">
        <w:r>
          <w:rPr>
            <w:b/>
            <w:color w:val="0562C1"/>
            <w:u w:val="single" w:color="0562C1"/>
          </w:rPr>
          <w:t>Section 115</w:t>
        </w:r>
      </w:hyperlink>
      <w:r>
        <w:rPr>
          <w:u w:val="none"/>
        </w:rPr>
        <w:t>). The exception for Section 115 permits a contract to specify an exclusive non-Delaware forum (including arbitration) for dispute resolution.</w:t>
      </w:r>
    </w:p>
    <w:p>
      <w:pPr>
        <w:pStyle w:val="BodyText"/>
        <w:spacing w:line="328" w:lineRule="auto" w:before="285"/>
        <w:ind w:left="119"/>
      </w:pPr>
      <w:r>
        <w:rPr/>
        <w:t>Section</w:t>
      </w:r>
      <w:r>
        <w:rPr>
          <w:spacing w:val="-2"/>
        </w:rPr>
        <w:t> </w:t>
      </w:r>
      <w:r>
        <w:rPr/>
        <w:t>122(18)</w:t>
      </w:r>
      <w:r>
        <w:rPr>
          <w:spacing w:val="-4"/>
        </w:rPr>
        <w:t> </w:t>
      </w:r>
      <w:r>
        <w:rPr/>
        <w:t>provides</w:t>
      </w:r>
      <w:r>
        <w:rPr>
          <w:spacing w:val="-4"/>
        </w:rPr>
        <w:t> </w:t>
      </w:r>
      <w:r>
        <w:rPr/>
        <w:t>that</w:t>
      </w:r>
      <w:r>
        <w:rPr>
          <w:spacing w:val="-2"/>
        </w:rPr>
        <w:t> </w:t>
      </w:r>
      <w:r>
        <w:rPr/>
        <w:t>a</w:t>
      </w:r>
      <w:r>
        <w:rPr>
          <w:spacing w:val="-4"/>
        </w:rPr>
        <w:t> </w:t>
      </w:r>
      <w:r>
        <w:rPr/>
        <w:t>corporation</w:t>
      </w:r>
      <w:r>
        <w:rPr>
          <w:spacing w:val="-2"/>
        </w:rPr>
        <w:t> </w:t>
      </w:r>
      <w:r>
        <w:rPr/>
        <w:t>is</w:t>
      </w:r>
      <w:r>
        <w:rPr>
          <w:spacing w:val="-4"/>
        </w:rPr>
        <w:t> </w:t>
      </w:r>
      <w:r>
        <w:rPr/>
        <w:t>subject</w:t>
      </w:r>
      <w:r>
        <w:rPr>
          <w:spacing w:val="-2"/>
        </w:rPr>
        <w:t> </w:t>
      </w:r>
      <w:r>
        <w:rPr/>
        <w:t>to</w:t>
      </w:r>
      <w:r>
        <w:rPr>
          <w:spacing w:val="-2"/>
        </w:rPr>
        <w:t> </w:t>
      </w:r>
      <w:r>
        <w:rPr/>
        <w:t>the</w:t>
      </w:r>
      <w:r>
        <w:rPr>
          <w:spacing w:val="-3"/>
        </w:rPr>
        <w:t> </w:t>
      </w:r>
      <w:r>
        <w:rPr/>
        <w:t>remedies</w:t>
      </w:r>
      <w:r>
        <w:rPr>
          <w:spacing w:val="-2"/>
        </w:rPr>
        <w:t> </w:t>
      </w:r>
      <w:r>
        <w:rPr/>
        <w:t>available</w:t>
      </w:r>
      <w:r>
        <w:rPr>
          <w:spacing w:val="-3"/>
        </w:rPr>
        <w:t> </w:t>
      </w:r>
      <w:r>
        <w:rPr/>
        <w:t>under</w:t>
      </w:r>
      <w:r>
        <w:rPr>
          <w:spacing w:val="-2"/>
        </w:rPr>
        <w:t> </w:t>
      </w:r>
      <w:r>
        <w:rPr/>
        <w:t>the</w:t>
      </w:r>
      <w:r>
        <w:rPr>
          <w:spacing w:val="-3"/>
        </w:rPr>
        <w:t> </w:t>
      </w:r>
      <w:r>
        <w:rPr/>
        <w:t>law</w:t>
      </w:r>
      <w:r>
        <w:rPr>
          <w:spacing w:val="-5"/>
        </w:rPr>
        <w:t> </w:t>
      </w:r>
      <w:r>
        <w:rPr/>
        <w:t>“governing”</w:t>
      </w:r>
      <w:r>
        <w:rPr>
          <w:spacing w:val="-4"/>
        </w:rPr>
        <w:t> </w:t>
      </w:r>
      <w:r>
        <w:rPr/>
        <w:t>the contract, including for any failure to perform or comply with the contract. As noted in the synopsis to</w:t>
      </w:r>
    </w:p>
    <w:p>
      <w:pPr>
        <w:pStyle w:val="BodyText"/>
        <w:spacing w:line="328" w:lineRule="auto"/>
        <w:ind w:left="120" w:right="257"/>
      </w:pPr>
      <w:r>
        <w:rPr/>
        <w:t>Section 122(18), the reference to the law “governing” the contract refers to Delaware law to the extent required by choice of law principles (such as the internal affairs doctrine). Section 122(18) does not permit contracts</w:t>
      </w:r>
      <w:r>
        <w:rPr>
          <w:spacing w:val="-3"/>
        </w:rPr>
        <w:t> </w:t>
      </w:r>
      <w:r>
        <w:rPr/>
        <w:t>to</w:t>
      </w:r>
      <w:r>
        <w:rPr>
          <w:spacing w:val="-1"/>
        </w:rPr>
        <w:t> </w:t>
      </w:r>
      <w:r>
        <w:rPr/>
        <w:t>bind</w:t>
      </w:r>
      <w:r>
        <w:rPr>
          <w:spacing w:val="-1"/>
        </w:rPr>
        <w:t> </w:t>
      </w:r>
      <w:r>
        <w:rPr/>
        <w:t>the</w:t>
      </w:r>
      <w:r>
        <w:rPr>
          <w:spacing w:val="-2"/>
        </w:rPr>
        <w:t> </w:t>
      </w:r>
      <w:r>
        <w:rPr/>
        <w:t>board</w:t>
      </w:r>
      <w:r>
        <w:rPr>
          <w:spacing w:val="-1"/>
        </w:rPr>
        <w:t> </w:t>
      </w:r>
      <w:r>
        <w:rPr/>
        <w:t>or</w:t>
      </w:r>
      <w:r>
        <w:rPr>
          <w:spacing w:val="-1"/>
        </w:rPr>
        <w:t> </w:t>
      </w:r>
      <w:r>
        <w:rPr/>
        <w:t>individual</w:t>
      </w:r>
      <w:r>
        <w:rPr>
          <w:spacing w:val="-4"/>
        </w:rPr>
        <w:t> </w:t>
      </w:r>
      <w:r>
        <w:rPr/>
        <w:t>directors</w:t>
      </w:r>
      <w:r>
        <w:rPr>
          <w:spacing w:val="-1"/>
        </w:rPr>
        <w:t> </w:t>
      </w:r>
      <w:r>
        <w:rPr/>
        <w:t>or</w:t>
      </w:r>
      <w:r>
        <w:rPr>
          <w:spacing w:val="-1"/>
        </w:rPr>
        <w:t> </w:t>
      </w:r>
      <w:r>
        <w:rPr/>
        <w:t>impose</w:t>
      </w:r>
      <w:r>
        <w:rPr>
          <w:spacing w:val="-4"/>
        </w:rPr>
        <w:t> </w:t>
      </w:r>
      <w:r>
        <w:rPr/>
        <w:t>penalties</w:t>
      </w:r>
      <w:r>
        <w:rPr>
          <w:spacing w:val="-1"/>
        </w:rPr>
        <w:t> </w:t>
      </w:r>
      <w:r>
        <w:rPr/>
        <w:t>on</w:t>
      </w:r>
      <w:r>
        <w:rPr>
          <w:spacing w:val="-6"/>
        </w:rPr>
        <w:t> </w:t>
      </w:r>
      <w:r>
        <w:rPr/>
        <w:t>the</w:t>
      </w:r>
      <w:r>
        <w:rPr>
          <w:spacing w:val="-2"/>
        </w:rPr>
        <w:t> </w:t>
      </w:r>
      <w:r>
        <w:rPr/>
        <w:t>board</w:t>
      </w:r>
      <w:r>
        <w:rPr>
          <w:spacing w:val="-1"/>
        </w:rPr>
        <w:t> </w:t>
      </w:r>
      <w:r>
        <w:rPr/>
        <w:t>or</w:t>
      </w:r>
      <w:r>
        <w:rPr>
          <w:spacing w:val="-1"/>
        </w:rPr>
        <w:t> </w:t>
      </w:r>
      <w:r>
        <w:rPr/>
        <w:t>individual</w:t>
      </w:r>
      <w:r>
        <w:rPr>
          <w:spacing w:val="-4"/>
        </w:rPr>
        <w:t> </w:t>
      </w:r>
      <w:r>
        <w:rPr/>
        <w:t>directors</w:t>
      </w:r>
      <w:r>
        <w:rPr>
          <w:spacing w:val="-3"/>
        </w:rPr>
        <w:t> </w:t>
      </w:r>
      <w:r>
        <w:rPr/>
        <w:t>for failing to comply with the contract.</w:t>
      </w:r>
    </w:p>
    <w:p>
      <w:pPr>
        <w:pStyle w:val="BodyText"/>
        <w:spacing w:before="270"/>
        <w:ind w:left="120"/>
      </w:pPr>
      <w:r>
        <w:rPr/>
        <w:t>A</w:t>
      </w:r>
      <w:r>
        <w:rPr>
          <w:spacing w:val="-5"/>
        </w:rPr>
        <w:t> </w:t>
      </w:r>
      <w:r>
        <w:rPr/>
        <w:t>corporation</w:t>
      </w:r>
      <w:r>
        <w:rPr>
          <w:spacing w:val="-6"/>
        </w:rPr>
        <w:t> </w:t>
      </w:r>
      <w:r>
        <w:rPr/>
        <w:t>may</w:t>
      </w:r>
      <w:r>
        <w:rPr>
          <w:spacing w:val="-7"/>
        </w:rPr>
        <w:t> </w:t>
      </w:r>
      <w:r>
        <w:rPr/>
        <w:t>opt</w:t>
      </w:r>
      <w:r>
        <w:rPr>
          <w:spacing w:val="-6"/>
        </w:rPr>
        <w:t> </w:t>
      </w:r>
      <w:r>
        <w:rPr/>
        <w:t>out</w:t>
      </w:r>
      <w:r>
        <w:rPr>
          <w:spacing w:val="-3"/>
        </w:rPr>
        <w:t> </w:t>
      </w:r>
      <w:r>
        <w:rPr/>
        <w:t>of</w:t>
      </w:r>
      <w:r>
        <w:rPr>
          <w:spacing w:val="-3"/>
        </w:rPr>
        <w:t> </w:t>
      </w:r>
      <w:r>
        <w:rPr/>
        <w:t>Section</w:t>
      </w:r>
      <w:r>
        <w:rPr>
          <w:spacing w:val="-4"/>
        </w:rPr>
        <w:t> </w:t>
      </w:r>
      <w:r>
        <w:rPr/>
        <w:t>122(18)</w:t>
      </w:r>
      <w:r>
        <w:rPr>
          <w:spacing w:val="-6"/>
        </w:rPr>
        <w:t> </w:t>
      </w:r>
      <w:r>
        <w:rPr/>
        <w:t>in</w:t>
      </w:r>
      <w:r>
        <w:rPr>
          <w:spacing w:val="-4"/>
        </w:rPr>
        <w:t> </w:t>
      </w:r>
      <w:r>
        <w:rPr/>
        <w:t>its</w:t>
      </w:r>
      <w:r>
        <w:rPr>
          <w:spacing w:val="-4"/>
        </w:rPr>
        <w:t> </w:t>
      </w:r>
      <w:r>
        <w:rPr/>
        <w:t>certificate</w:t>
      </w:r>
      <w:r>
        <w:rPr>
          <w:spacing w:val="-5"/>
        </w:rPr>
        <w:t> </w:t>
      </w:r>
      <w:r>
        <w:rPr/>
        <w:t>of</w:t>
      </w:r>
      <w:r>
        <w:rPr>
          <w:spacing w:val="-2"/>
        </w:rPr>
        <w:t> incorporation.</w:t>
      </w:r>
    </w:p>
    <w:p>
      <w:pPr>
        <w:pStyle w:val="BodyText"/>
        <w:spacing w:before="97"/>
      </w:pPr>
    </w:p>
    <w:p>
      <w:pPr>
        <w:pStyle w:val="BodyText"/>
        <w:spacing w:line="328" w:lineRule="auto"/>
        <w:ind w:left="120"/>
      </w:pPr>
      <w:r>
        <w:rPr/>
        <w:t>Section 122(5) has also been amended to clarify that management contracts and other internal delegation arrangements</w:t>
      </w:r>
      <w:r>
        <w:rPr>
          <w:spacing w:val="-2"/>
        </w:rPr>
        <w:t> </w:t>
      </w:r>
      <w:r>
        <w:rPr/>
        <w:t>(providing</w:t>
      </w:r>
      <w:r>
        <w:rPr>
          <w:spacing w:val="-4"/>
        </w:rPr>
        <w:t> </w:t>
      </w:r>
      <w:r>
        <w:rPr/>
        <w:t>officers</w:t>
      </w:r>
      <w:r>
        <w:rPr>
          <w:spacing w:val="-2"/>
        </w:rPr>
        <w:t> </w:t>
      </w:r>
      <w:r>
        <w:rPr/>
        <w:t>or</w:t>
      </w:r>
      <w:r>
        <w:rPr>
          <w:spacing w:val="-4"/>
        </w:rPr>
        <w:t> </w:t>
      </w:r>
      <w:r>
        <w:rPr/>
        <w:t>agents</w:t>
      </w:r>
      <w:r>
        <w:rPr>
          <w:spacing w:val="-2"/>
        </w:rPr>
        <w:t> </w:t>
      </w:r>
      <w:r>
        <w:rPr/>
        <w:t>with</w:t>
      </w:r>
      <w:r>
        <w:rPr>
          <w:spacing w:val="-4"/>
        </w:rPr>
        <w:t> </w:t>
      </w:r>
      <w:r>
        <w:rPr/>
        <w:t>authority</w:t>
      </w:r>
      <w:r>
        <w:rPr>
          <w:spacing w:val="-3"/>
        </w:rPr>
        <w:t> </w:t>
      </w:r>
      <w:r>
        <w:rPr/>
        <w:t>to</w:t>
      </w:r>
      <w:r>
        <w:rPr>
          <w:spacing w:val="-2"/>
        </w:rPr>
        <w:t> </w:t>
      </w:r>
      <w:r>
        <w:rPr/>
        <w:t>act</w:t>
      </w:r>
      <w:r>
        <w:rPr>
          <w:spacing w:val="-2"/>
        </w:rPr>
        <w:t> </w:t>
      </w:r>
      <w:r>
        <w:rPr/>
        <w:t>on</w:t>
      </w:r>
      <w:r>
        <w:rPr>
          <w:spacing w:val="-4"/>
        </w:rPr>
        <w:t> </w:t>
      </w:r>
      <w:r>
        <w:rPr/>
        <w:t>behalf</w:t>
      </w:r>
      <w:r>
        <w:rPr>
          <w:spacing w:val="-4"/>
        </w:rPr>
        <w:t> </w:t>
      </w:r>
      <w:r>
        <w:rPr/>
        <w:t>of</w:t>
      </w:r>
      <w:r>
        <w:rPr>
          <w:spacing w:val="-1"/>
        </w:rPr>
        <w:t> </w:t>
      </w:r>
      <w:r>
        <w:rPr/>
        <w:t>the</w:t>
      </w:r>
      <w:r>
        <w:rPr>
          <w:spacing w:val="-4"/>
        </w:rPr>
        <w:t> </w:t>
      </w:r>
      <w:r>
        <w:rPr/>
        <w:t>corporation)</w:t>
      </w:r>
      <w:r>
        <w:rPr>
          <w:spacing w:val="-2"/>
        </w:rPr>
        <w:t> </w:t>
      </w:r>
      <w:r>
        <w:rPr/>
        <w:t>continue</w:t>
      </w:r>
      <w:r>
        <w:rPr>
          <w:spacing w:val="-3"/>
        </w:rPr>
        <w:t> </w:t>
      </w:r>
      <w:r>
        <w:rPr/>
        <w:t>to</w:t>
      </w:r>
      <w:r>
        <w:rPr>
          <w:spacing w:val="-4"/>
        </w:rPr>
        <w:t> </w:t>
      </w:r>
      <w:r>
        <w:rPr/>
        <w:t>be subject to Section 141(a) and the case law relating to board delegation.</w:t>
      </w:r>
    </w:p>
    <w:p>
      <w:pPr>
        <w:pStyle w:val="Heading2"/>
        <w:spacing w:before="277"/>
        <w:rPr>
          <w:i/>
        </w:rPr>
      </w:pPr>
      <w:r>
        <w:rPr>
          <w:i/>
        </w:rPr>
        <w:t>Board</w:t>
      </w:r>
      <w:r>
        <w:rPr>
          <w:i/>
          <w:spacing w:val="-9"/>
        </w:rPr>
        <w:t> </w:t>
      </w:r>
      <w:r>
        <w:rPr>
          <w:i/>
        </w:rPr>
        <w:t>Approval</w:t>
      </w:r>
      <w:r>
        <w:rPr>
          <w:i/>
          <w:spacing w:val="-9"/>
        </w:rPr>
        <w:t> </w:t>
      </w:r>
      <w:r>
        <w:rPr>
          <w:i/>
        </w:rPr>
        <w:t>of</w:t>
      </w:r>
      <w:r>
        <w:rPr>
          <w:i/>
          <w:spacing w:val="-7"/>
        </w:rPr>
        <w:t> </w:t>
      </w:r>
      <w:r>
        <w:rPr>
          <w:i/>
        </w:rPr>
        <w:t>Agreements,</w:t>
      </w:r>
      <w:r>
        <w:rPr>
          <w:i/>
          <w:spacing w:val="-7"/>
        </w:rPr>
        <w:t> </w:t>
      </w:r>
      <w:r>
        <w:rPr>
          <w:i/>
        </w:rPr>
        <w:t>Instruments</w:t>
      </w:r>
      <w:r>
        <w:rPr>
          <w:i/>
          <w:spacing w:val="-5"/>
        </w:rPr>
        <w:t> </w:t>
      </w:r>
      <w:r>
        <w:rPr>
          <w:i/>
        </w:rPr>
        <w:t>&amp;</w:t>
      </w:r>
      <w:r>
        <w:rPr>
          <w:i/>
          <w:spacing w:val="-8"/>
        </w:rPr>
        <w:t> </w:t>
      </w:r>
      <w:r>
        <w:rPr>
          <w:i/>
          <w:spacing w:val="-2"/>
        </w:rPr>
        <w:t>Documents</w:t>
      </w:r>
    </w:p>
    <w:p>
      <w:pPr>
        <w:pStyle w:val="BodyText"/>
        <w:spacing w:before="95"/>
        <w:rPr>
          <w:b/>
          <w:i/>
        </w:rPr>
      </w:pPr>
    </w:p>
    <w:p>
      <w:pPr>
        <w:pStyle w:val="BodyText"/>
        <w:spacing w:line="326" w:lineRule="auto"/>
        <w:ind w:left="120" w:right="205"/>
      </w:pPr>
      <w:r>
        <w:rPr/>
        <w:t>A new </w:t>
      </w:r>
      <w:hyperlink r:id="rId18">
        <w:r>
          <w:rPr>
            <w:b/>
            <w:color w:val="0562C1"/>
            <w:u w:val="single" w:color="0562C1"/>
          </w:rPr>
          <w:t>Section 147</w:t>
        </w:r>
      </w:hyperlink>
      <w:r>
        <w:rPr>
          <w:b/>
          <w:color w:val="0562C1"/>
          <w:u w:val="none"/>
        </w:rPr>
        <w:t> </w:t>
      </w:r>
      <w:r>
        <w:rPr>
          <w:u w:val="none"/>
        </w:rPr>
        <w:t>has been added to clarify that any agreement, instrument or document that requires the approval of the board under the DGCL may be approved in final or substantially final form. Section 147 is intended</w:t>
      </w:r>
      <w:r>
        <w:rPr>
          <w:spacing w:val="-1"/>
          <w:u w:val="none"/>
        </w:rPr>
        <w:t> </w:t>
      </w:r>
      <w:r>
        <w:rPr>
          <w:u w:val="none"/>
        </w:rPr>
        <w:t>to</w:t>
      </w:r>
      <w:r>
        <w:rPr>
          <w:spacing w:val="-1"/>
          <w:u w:val="none"/>
        </w:rPr>
        <w:t> </w:t>
      </w:r>
      <w:r>
        <w:rPr>
          <w:u w:val="none"/>
        </w:rPr>
        <w:t>address</w:t>
      </w:r>
      <w:r>
        <w:rPr>
          <w:spacing w:val="-1"/>
          <w:u w:val="none"/>
        </w:rPr>
        <w:t> </w:t>
      </w:r>
      <w:r>
        <w:rPr>
          <w:u w:val="none"/>
        </w:rPr>
        <w:t>an</w:t>
      </w:r>
      <w:r>
        <w:rPr>
          <w:spacing w:val="-1"/>
          <w:u w:val="none"/>
        </w:rPr>
        <w:t> </w:t>
      </w:r>
      <w:r>
        <w:rPr>
          <w:u w:val="none"/>
        </w:rPr>
        <w:t>issue</w:t>
      </w:r>
      <w:r>
        <w:rPr>
          <w:spacing w:val="-2"/>
          <w:u w:val="none"/>
        </w:rPr>
        <w:t> </w:t>
      </w:r>
      <w:r>
        <w:rPr>
          <w:u w:val="none"/>
        </w:rPr>
        <w:t>raised</w:t>
      </w:r>
      <w:r>
        <w:rPr>
          <w:spacing w:val="-1"/>
          <w:u w:val="none"/>
        </w:rPr>
        <w:t> </w:t>
      </w:r>
      <w:r>
        <w:rPr>
          <w:u w:val="none"/>
        </w:rPr>
        <w:t>in</w:t>
      </w:r>
      <w:r>
        <w:rPr>
          <w:spacing w:val="-3"/>
          <w:u w:val="none"/>
        </w:rPr>
        <w:t> </w:t>
      </w:r>
      <w:r>
        <w:rPr>
          <w:i/>
          <w:u w:val="none"/>
        </w:rPr>
        <w:t>Sjunde</w:t>
      </w:r>
      <w:r>
        <w:rPr>
          <w:i/>
          <w:spacing w:val="-4"/>
          <w:u w:val="none"/>
        </w:rPr>
        <w:t> </w:t>
      </w:r>
      <w:r>
        <w:rPr>
          <w:i/>
          <w:u w:val="none"/>
        </w:rPr>
        <w:t>AP-fonden</w:t>
      </w:r>
      <w:r>
        <w:rPr>
          <w:i/>
          <w:spacing w:val="-3"/>
          <w:u w:val="none"/>
        </w:rPr>
        <w:t> </w:t>
      </w:r>
      <w:r>
        <w:rPr>
          <w:i/>
          <w:u w:val="none"/>
        </w:rPr>
        <w:t>v.</w:t>
      </w:r>
      <w:r>
        <w:rPr>
          <w:i/>
          <w:spacing w:val="-4"/>
          <w:u w:val="none"/>
        </w:rPr>
        <w:t> </w:t>
      </w:r>
      <w:r>
        <w:rPr>
          <w:i/>
          <w:u w:val="none"/>
        </w:rPr>
        <w:t>Activision</w:t>
      </w:r>
      <w:r>
        <w:rPr>
          <w:i/>
          <w:spacing w:val="-3"/>
          <w:u w:val="none"/>
        </w:rPr>
        <w:t> </w:t>
      </w:r>
      <w:r>
        <w:rPr>
          <w:i/>
          <w:u w:val="none"/>
        </w:rPr>
        <w:t>Blizzard,</w:t>
      </w:r>
      <w:r>
        <w:rPr>
          <w:i/>
          <w:spacing w:val="-1"/>
          <w:u w:val="none"/>
        </w:rPr>
        <w:t> </w:t>
      </w:r>
      <w:r>
        <w:rPr>
          <w:i/>
          <w:u w:val="none"/>
        </w:rPr>
        <w:t>Inc.</w:t>
      </w:r>
      <w:r>
        <w:rPr>
          <w:u w:val="none"/>
        </w:rPr>
        <w:t>,</w:t>
      </w:r>
      <w:r>
        <w:rPr>
          <w:spacing w:val="-2"/>
          <w:u w:val="none"/>
        </w:rPr>
        <w:t> </w:t>
      </w:r>
      <w:hyperlink r:id="rId19">
        <w:r>
          <w:rPr>
            <w:b/>
            <w:color w:val="0562C1"/>
            <w:u w:val="single" w:color="0562C1"/>
          </w:rPr>
          <w:t>2024</w:t>
        </w:r>
        <w:r>
          <w:rPr>
            <w:b/>
            <w:color w:val="0562C1"/>
            <w:spacing w:val="-1"/>
            <w:u w:val="single" w:color="0562C1"/>
          </w:rPr>
          <w:t> </w:t>
        </w:r>
        <w:r>
          <w:rPr>
            <w:b/>
            <w:color w:val="0562C1"/>
            <w:u w:val="single" w:color="0562C1"/>
          </w:rPr>
          <w:t>BL 67209</w:t>
        </w:r>
      </w:hyperlink>
      <w:r>
        <w:rPr>
          <w:b/>
          <w:color w:val="0562C1"/>
          <w:spacing w:val="-3"/>
          <w:u w:val="none"/>
        </w:rPr>
        <w:t> </w:t>
      </w:r>
      <w:r>
        <w:rPr>
          <w:u w:val="none"/>
        </w:rPr>
        <w:t>(Del.</w:t>
      </w:r>
      <w:r>
        <w:rPr>
          <w:spacing w:val="-2"/>
          <w:u w:val="none"/>
        </w:rPr>
        <w:t> </w:t>
      </w:r>
      <w:r>
        <w:rPr>
          <w:u w:val="none"/>
        </w:rPr>
        <w:t>Ch.</w:t>
      </w:r>
      <w:r>
        <w:rPr>
          <w:spacing w:val="-2"/>
          <w:u w:val="none"/>
        </w:rPr>
        <w:t> </w:t>
      </w:r>
      <w:r>
        <w:rPr>
          <w:u w:val="none"/>
        </w:rPr>
        <w:t>Feb. 29, 2024). There, the Court of Chancery reasoned that a merger agreement may not have been approved in accordance with</w:t>
      </w:r>
      <w:r>
        <w:rPr>
          <w:spacing w:val="-1"/>
          <w:u w:val="none"/>
        </w:rPr>
        <w:t> </w:t>
      </w:r>
      <w:r>
        <w:rPr>
          <w:u w:val="none"/>
        </w:rPr>
        <w:t>the DGCL because the board</w:t>
      </w:r>
      <w:r>
        <w:rPr>
          <w:spacing w:val="-1"/>
          <w:u w:val="none"/>
        </w:rPr>
        <w:t> </w:t>
      </w:r>
      <w:r>
        <w:rPr>
          <w:u w:val="none"/>
        </w:rPr>
        <w:t>approved</w:t>
      </w:r>
      <w:r>
        <w:rPr>
          <w:spacing w:val="-1"/>
          <w:u w:val="none"/>
        </w:rPr>
        <w:t> </w:t>
      </w:r>
      <w:r>
        <w:rPr>
          <w:u w:val="none"/>
        </w:rPr>
        <w:t>a draft version of</w:t>
      </w:r>
      <w:r>
        <w:rPr>
          <w:spacing w:val="-1"/>
          <w:u w:val="none"/>
        </w:rPr>
        <w:t> </w:t>
      </w:r>
      <w:r>
        <w:rPr>
          <w:u w:val="none"/>
        </w:rPr>
        <w:t>the agreement, which was missing several key terms.</w:t>
      </w:r>
    </w:p>
    <w:p>
      <w:pPr>
        <w:pStyle w:val="BodyText"/>
        <w:spacing w:before="1"/>
      </w:pPr>
    </w:p>
    <w:p>
      <w:pPr>
        <w:pStyle w:val="BodyText"/>
        <w:spacing w:line="328" w:lineRule="auto" w:before="1"/>
        <w:ind w:left="120" w:right="304"/>
      </w:pPr>
      <w:r>
        <w:rPr/>
        <w:t>The</w:t>
      </w:r>
      <w:r>
        <w:rPr>
          <w:spacing w:val="-2"/>
        </w:rPr>
        <w:t> </w:t>
      </w:r>
      <w:r>
        <w:rPr/>
        <w:t>synopsis</w:t>
      </w:r>
      <w:r>
        <w:rPr>
          <w:spacing w:val="-3"/>
        </w:rPr>
        <w:t> </w:t>
      </w:r>
      <w:r>
        <w:rPr/>
        <w:t>to</w:t>
      </w:r>
      <w:r>
        <w:rPr>
          <w:spacing w:val="-1"/>
        </w:rPr>
        <w:t> </w:t>
      </w:r>
      <w:r>
        <w:rPr/>
        <w:t>Section</w:t>
      </w:r>
      <w:r>
        <w:rPr>
          <w:spacing w:val="-3"/>
        </w:rPr>
        <w:t> </w:t>
      </w:r>
      <w:r>
        <w:rPr/>
        <w:t>147</w:t>
      </w:r>
      <w:r>
        <w:rPr>
          <w:spacing w:val="-2"/>
        </w:rPr>
        <w:t> </w:t>
      </w:r>
      <w:r>
        <w:rPr/>
        <w:t>explains</w:t>
      </w:r>
      <w:r>
        <w:rPr>
          <w:spacing w:val="-3"/>
        </w:rPr>
        <w:t> </w:t>
      </w:r>
      <w:r>
        <w:rPr/>
        <w:t>that</w:t>
      </w:r>
      <w:r>
        <w:rPr>
          <w:spacing w:val="-3"/>
        </w:rPr>
        <w:t> </w:t>
      </w:r>
      <w:r>
        <w:rPr/>
        <w:t>the</w:t>
      </w:r>
      <w:r>
        <w:rPr>
          <w:spacing w:val="-2"/>
        </w:rPr>
        <w:t> </w:t>
      </w:r>
      <w:r>
        <w:rPr/>
        <w:t>new</w:t>
      </w:r>
      <w:r>
        <w:rPr>
          <w:spacing w:val="-2"/>
        </w:rPr>
        <w:t> </w:t>
      </w:r>
      <w:r>
        <w:rPr/>
        <w:t>provision</w:t>
      </w:r>
      <w:r>
        <w:rPr>
          <w:spacing w:val="-1"/>
        </w:rPr>
        <w:t> </w:t>
      </w:r>
      <w:r>
        <w:rPr/>
        <w:t>is</w:t>
      </w:r>
      <w:r>
        <w:rPr>
          <w:spacing w:val="-1"/>
        </w:rPr>
        <w:t> </w:t>
      </w:r>
      <w:r>
        <w:rPr/>
        <w:t>intended</w:t>
      </w:r>
      <w:r>
        <w:rPr>
          <w:spacing w:val="-3"/>
        </w:rPr>
        <w:t> </w:t>
      </w:r>
      <w:r>
        <w:rPr/>
        <w:t>to</w:t>
      </w:r>
      <w:r>
        <w:rPr>
          <w:spacing w:val="-1"/>
        </w:rPr>
        <w:t> </w:t>
      </w:r>
      <w:r>
        <w:rPr/>
        <w:t>permit</w:t>
      </w:r>
      <w:r>
        <w:rPr>
          <w:spacing w:val="-1"/>
        </w:rPr>
        <w:t> </w:t>
      </w:r>
      <w:r>
        <w:rPr/>
        <w:t>a</w:t>
      </w:r>
      <w:r>
        <w:rPr>
          <w:spacing w:val="-3"/>
        </w:rPr>
        <w:t> </w:t>
      </w:r>
      <w:r>
        <w:rPr/>
        <w:t>board</w:t>
      </w:r>
      <w:r>
        <w:rPr>
          <w:spacing w:val="-1"/>
        </w:rPr>
        <w:t> </w:t>
      </w:r>
      <w:r>
        <w:rPr/>
        <w:t>to</w:t>
      </w:r>
      <w:r>
        <w:rPr>
          <w:spacing w:val="-4"/>
        </w:rPr>
        <w:t> </w:t>
      </w:r>
      <w:r>
        <w:rPr/>
        <w:t>validly</w:t>
      </w:r>
      <w:r>
        <w:rPr>
          <w:spacing w:val="-2"/>
        </w:rPr>
        <w:t> </w:t>
      </w:r>
      <w:r>
        <w:rPr/>
        <w:t>approve an agreement, instrument or document so long as all its material terms are known by the board or determinable through information or materials presented to the board.</w:t>
      </w:r>
    </w:p>
    <w:p>
      <w:pPr>
        <w:pStyle w:val="BodyText"/>
        <w:spacing w:line="328" w:lineRule="auto" w:before="274"/>
        <w:ind w:left="119" w:right="304"/>
      </w:pPr>
      <w:r>
        <w:rPr/>
        <w:t>Section 147 also provides a new ratification process. If the board acted on an agreement, instrument or document</w:t>
      </w:r>
      <w:r>
        <w:rPr>
          <w:spacing w:val="-1"/>
        </w:rPr>
        <w:t> </w:t>
      </w:r>
      <w:r>
        <w:rPr/>
        <w:t>that</w:t>
      </w:r>
      <w:r>
        <w:rPr>
          <w:spacing w:val="-1"/>
        </w:rPr>
        <w:t> </w:t>
      </w:r>
      <w:r>
        <w:rPr/>
        <w:t>is</w:t>
      </w:r>
      <w:r>
        <w:rPr>
          <w:spacing w:val="-1"/>
        </w:rPr>
        <w:t> </w:t>
      </w:r>
      <w:r>
        <w:rPr/>
        <w:t>required</w:t>
      </w:r>
      <w:r>
        <w:rPr>
          <w:spacing w:val="-1"/>
        </w:rPr>
        <w:t> </w:t>
      </w:r>
      <w:r>
        <w:rPr/>
        <w:t>to</w:t>
      </w:r>
      <w:r>
        <w:rPr>
          <w:spacing w:val="-4"/>
        </w:rPr>
        <w:t> </w:t>
      </w:r>
      <w:r>
        <w:rPr/>
        <w:t>be</w:t>
      </w:r>
      <w:r>
        <w:rPr>
          <w:spacing w:val="-2"/>
        </w:rPr>
        <w:t> </w:t>
      </w:r>
      <w:r>
        <w:rPr/>
        <w:t>filed</w:t>
      </w:r>
      <w:r>
        <w:rPr>
          <w:spacing w:val="-1"/>
        </w:rPr>
        <w:t> </w:t>
      </w:r>
      <w:r>
        <w:rPr/>
        <w:t>with</w:t>
      </w:r>
      <w:r>
        <w:rPr>
          <w:spacing w:val="-1"/>
        </w:rPr>
        <w:t> </w:t>
      </w:r>
      <w:r>
        <w:rPr/>
        <w:t>(or</w:t>
      </w:r>
      <w:r>
        <w:rPr>
          <w:spacing w:val="-3"/>
        </w:rPr>
        <w:t> </w:t>
      </w:r>
      <w:r>
        <w:rPr/>
        <w:t>referenced</w:t>
      </w:r>
      <w:r>
        <w:rPr>
          <w:spacing w:val="-1"/>
        </w:rPr>
        <w:t> </w:t>
      </w:r>
      <w:r>
        <w:rPr/>
        <w:t>in</w:t>
      </w:r>
      <w:r>
        <w:rPr>
          <w:spacing w:val="-1"/>
        </w:rPr>
        <w:t> </w:t>
      </w:r>
      <w:r>
        <w:rPr/>
        <w:t>a</w:t>
      </w:r>
      <w:r>
        <w:rPr>
          <w:spacing w:val="-3"/>
        </w:rPr>
        <w:t> </w:t>
      </w:r>
      <w:r>
        <w:rPr/>
        <w:t>certificate</w:t>
      </w:r>
      <w:r>
        <w:rPr>
          <w:spacing w:val="-2"/>
        </w:rPr>
        <w:t> </w:t>
      </w:r>
      <w:r>
        <w:rPr/>
        <w:t>filed</w:t>
      </w:r>
      <w:r>
        <w:rPr>
          <w:spacing w:val="-1"/>
        </w:rPr>
        <w:t> </w:t>
      </w:r>
      <w:r>
        <w:rPr/>
        <w:t>with)</w:t>
      </w:r>
      <w:r>
        <w:rPr>
          <w:spacing w:val="-1"/>
        </w:rPr>
        <w:t> </w:t>
      </w:r>
      <w:r>
        <w:rPr/>
        <w:t>the</w:t>
      </w:r>
      <w:r>
        <w:rPr>
          <w:spacing w:val="-4"/>
        </w:rPr>
        <w:t> </w:t>
      </w:r>
      <w:r>
        <w:rPr/>
        <w:t>Office</w:t>
      </w:r>
      <w:r>
        <w:rPr>
          <w:spacing w:val="-2"/>
        </w:rPr>
        <w:t> </w:t>
      </w:r>
      <w:r>
        <w:rPr/>
        <w:t>of</w:t>
      </w:r>
      <w:r>
        <w:rPr>
          <w:spacing w:val="-3"/>
        </w:rPr>
        <w:t> </w:t>
      </w:r>
      <w:r>
        <w:rPr/>
        <w:t>the</w:t>
      </w:r>
      <w:r>
        <w:rPr>
          <w:spacing w:val="-4"/>
        </w:rPr>
        <w:t> </w:t>
      </w:r>
      <w:r>
        <w:rPr/>
        <w:t>Secretary of State of the State of Delaware, the board may ratify the approval of such agreement, instrument or document</w:t>
      </w:r>
      <w:r>
        <w:rPr>
          <w:spacing w:val="-1"/>
        </w:rPr>
        <w:t> </w:t>
      </w:r>
      <w:r>
        <w:rPr/>
        <w:t>prior</w:t>
      </w:r>
      <w:r>
        <w:rPr>
          <w:spacing w:val="-1"/>
        </w:rPr>
        <w:t> </w:t>
      </w:r>
      <w:r>
        <w:rPr/>
        <w:t>to the</w:t>
      </w:r>
      <w:r>
        <w:rPr>
          <w:spacing w:val="-2"/>
        </w:rPr>
        <w:t> </w:t>
      </w:r>
      <w:r>
        <w:rPr/>
        <w:t>filing. The</w:t>
      </w:r>
      <w:r>
        <w:rPr>
          <w:spacing w:val="-2"/>
        </w:rPr>
        <w:t> </w:t>
      </w:r>
      <w:r>
        <w:rPr/>
        <w:t>ratification</w:t>
      </w:r>
      <w:r>
        <w:rPr>
          <w:spacing w:val="-1"/>
        </w:rPr>
        <w:t> </w:t>
      </w:r>
      <w:r>
        <w:rPr/>
        <w:t>is deemed effective</w:t>
      </w:r>
      <w:r>
        <w:rPr>
          <w:spacing w:val="-2"/>
        </w:rPr>
        <w:t> </w:t>
      </w:r>
      <w:r>
        <w:rPr/>
        <w:t>as of the</w:t>
      </w:r>
      <w:r>
        <w:rPr>
          <w:spacing w:val="-2"/>
        </w:rPr>
        <w:t> </w:t>
      </w:r>
      <w:r>
        <w:rPr/>
        <w:t>time of</w:t>
      </w:r>
      <w:r>
        <w:rPr>
          <w:spacing w:val="-1"/>
        </w:rPr>
        <w:t> </w:t>
      </w:r>
      <w:r>
        <w:rPr/>
        <w:t>the board's original action.</w:t>
      </w:r>
    </w:p>
    <w:p>
      <w:pPr>
        <w:spacing w:after="0" w:line="328" w:lineRule="auto"/>
        <w:sectPr>
          <w:pgSz w:w="12240" w:h="15840"/>
          <w:pgMar w:header="0" w:footer="272" w:top="740" w:bottom="460" w:left="600" w:right="520"/>
        </w:sectPr>
      </w:pPr>
    </w:p>
    <w:p>
      <w:pPr>
        <w:pStyle w:val="BodyText"/>
        <w:spacing w:line="328" w:lineRule="auto" w:before="84"/>
        <w:ind w:left="120"/>
      </w:pPr>
      <w:r>
        <w:rPr/>
        <w:t>This</w:t>
      </w:r>
      <w:r>
        <w:rPr>
          <w:spacing w:val="-4"/>
        </w:rPr>
        <w:t> </w:t>
      </w:r>
      <w:r>
        <w:rPr/>
        <w:t>process</w:t>
      </w:r>
      <w:r>
        <w:rPr>
          <w:spacing w:val="-2"/>
        </w:rPr>
        <w:t> </w:t>
      </w:r>
      <w:r>
        <w:rPr/>
        <w:t>can</w:t>
      </w:r>
      <w:r>
        <w:rPr>
          <w:spacing w:val="-4"/>
        </w:rPr>
        <w:t> </w:t>
      </w:r>
      <w:r>
        <w:rPr/>
        <w:t>be</w:t>
      </w:r>
      <w:r>
        <w:rPr>
          <w:spacing w:val="-3"/>
        </w:rPr>
        <w:t> </w:t>
      </w:r>
      <w:r>
        <w:rPr/>
        <w:t>used</w:t>
      </w:r>
      <w:r>
        <w:rPr>
          <w:spacing w:val="-4"/>
        </w:rPr>
        <w:t> </w:t>
      </w:r>
      <w:r>
        <w:rPr/>
        <w:t>to</w:t>
      </w:r>
      <w:r>
        <w:rPr>
          <w:spacing w:val="-2"/>
        </w:rPr>
        <w:t> </w:t>
      </w:r>
      <w:r>
        <w:rPr/>
        <w:t>address</w:t>
      </w:r>
      <w:r>
        <w:rPr>
          <w:spacing w:val="-2"/>
        </w:rPr>
        <w:t> </w:t>
      </w:r>
      <w:r>
        <w:rPr/>
        <w:t>uncertainty</w:t>
      </w:r>
      <w:r>
        <w:rPr>
          <w:spacing w:val="-3"/>
        </w:rPr>
        <w:t> </w:t>
      </w:r>
      <w:r>
        <w:rPr/>
        <w:t>over</w:t>
      </w:r>
      <w:r>
        <w:rPr>
          <w:spacing w:val="-2"/>
        </w:rPr>
        <w:t> </w:t>
      </w:r>
      <w:r>
        <w:rPr/>
        <w:t>whether</w:t>
      </w:r>
      <w:r>
        <w:rPr>
          <w:spacing w:val="-4"/>
        </w:rPr>
        <w:t> </w:t>
      </w:r>
      <w:r>
        <w:rPr/>
        <w:t>an</w:t>
      </w:r>
      <w:r>
        <w:rPr>
          <w:spacing w:val="-4"/>
        </w:rPr>
        <w:t> </w:t>
      </w:r>
      <w:r>
        <w:rPr/>
        <w:t>agreement,</w:t>
      </w:r>
      <w:r>
        <w:rPr>
          <w:spacing w:val="-1"/>
        </w:rPr>
        <w:t> </w:t>
      </w:r>
      <w:r>
        <w:rPr/>
        <w:t>instrument</w:t>
      </w:r>
      <w:r>
        <w:rPr>
          <w:spacing w:val="-4"/>
        </w:rPr>
        <w:t> </w:t>
      </w:r>
      <w:r>
        <w:rPr/>
        <w:t>or</w:t>
      </w:r>
      <w:r>
        <w:rPr>
          <w:spacing w:val="-4"/>
        </w:rPr>
        <w:t> </w:t>
      </w:r>
      <w:r>
        <w:rPr/>
        <w:t>document</w:t>
      </w:r>
      <w:r>
        <w:rPr>
          <w:spacing w:val="-2"/>
        </w:rPr>
        <w:t> </w:t>
      </w:r>
      <w:r>
        <w:rPr/>
        <w:t>was originally approved in final or substantially final form.</w:t>
      </w:r>
    </w:p>
    <w:p>
      <w:pPr>
        <w:pStyle w:val="Heading2"/>
        <w:spacing w:before="277"/>
        <w:rPr>
          <w:i/>
        </w:rPr>
      </w:pPr>
      <w:r>
        <w:rPr>
          <w:i/>
        </w:rPr>
        <w:t>Stockholder</w:t>
      </w:r>
      <w:r>
        <w:rPr>
          <w:i/>
          <w:spacing w:val="-9"/>
        </w:rPr>
        <w:t> </w:t>
      </w:r>
      <w:r>
        <w:rPr>
          <w:i/>
          <w:spacing w:val="-2"/>
        </w:rPr>
        <w:t>Notices</w:t>
      </w:r>
    </w:p>
    <w:p>
      <w:pPr>
        <w:pStyle w:val="BodyText"/>
        <w:spacing w:before="95"/>
        <w:rPr>
          <w:b/>
          <w:i/>
        </w:rPr>
      </w:pPr>
    </w:p>
    <w:p>
      <w:pPr>
        <w:pStyle w:val="BodyText"/>
        <w:spacing w:line="328" w:lineRule="auto"/>
        <w:ind w:left="120" w:right="304"/>
      </w:pPr>
      <w:hyperlink r:id="rId20">
        <w:r>
          <w:rPr>
            <w:b/>
            <w:color w:val="0562C1"/>
            <w:u w:val="single" w:color="0562C1"/>
          </w:rPr>
          <w:t>Section 232</w:t>
        </w:r>
        <w:r>
          <w:rPr>
            <w:u w:val="none"/>
          </w:rPr>
          <w:t>,</w:t>
        </w:r>
      </w:hyperlink>
      <w:r>
        <w:rPr>
          <w:u w:val="none"/>
        </w:rPr>
        <w:t> which governs the delivery of notice to stockholders, has been amended to provide that materials</w:t>
      </w:r>
      <w:r>
        <w:rPr>
          <w:spacing w:val="-1"/>
          <w:u w:val="none"/>
        </w:rPr>
        <w:t> </w:t>
      </w:r>
      <w:r>
        <w:rPr>
          <w:u w:val="none"/>
        </w:rPr>
        <w:t>attached</w:t>
      </w:r>
      <w:r>
        <w:rPr>
          <w:spacing w:val="-1"/>
          <w:u w:val="none"/>
        </w:rPr>
        <w:t> </w:t>
      </w:r>
      <w:r>
        <w:rPr>
          <w:u w:val="none"/>
        </w:rPr>
        <w:t>to</w:t>
      </w:r>
      <w:r>
        <w:rPr>
          <w:spacing w:val="-4"/>
          <w:u w:val="none"/>
        </w:rPr>
        <w:t> </w:t>
      </w:r>
      <w:r>
        <w:rPr>
          <w:u w:val="none"/>
        </w:rPr>
        <w:t>or</w:t>
      </w:r>
      <w:r>
        <w:rPr>
          <w:spacing w:val="-3"/>
          <w:u w:val="none"/>
        </w:rPr>
        <w:t> </w:t>
      </w:r>
      <w:r>
        <w:rPr>
          <w:u w:val="none"/>
        </w:rPr>
        <w:t>enclosed</w:t>
      </w:r>
      <w:r>
        <w:rPr>
          <w:spacing w:val="-1"/>
          <w:u w:val="none"/>
        </w:rPr>
        <w:t> </w:t>
      </w:r>
      <w:r>
        <w:rPr>
          <w:u w:val="none"/>
        </w:rPr>
        <w:t>with</w:t>
      </w:r>
      <w:r>
        <w:rPr>
          <w:spacing w:val="-1"/>
          <w:u w:val="none"/>
        </w:rPr>
        <w:t> </w:t>
      </w:r>
      <w:r>
        <w:rPr>
          <w:u w:val="none"/>
        </w:rPr>
        <w:t>a</w:t>
      </w:r>
      <w:r>
        <w:rPr>
          <w:spacing w:val="-3"/>
          <w:u w:val="none"/>
        </w:rPr>
        <w:t> </w:t>
      </w:r>
      <w:r>
        <w:rPr>
          <w:u w:val="none"/>
        </w:rPr>
        <w:t>stockholder</w:t>
      </w:r>
      <w:r>
        <w:rPr>
          <w:spacing w:val="-1"/>
          <w:u w:val="none"/>
        </w:rPr>
        <w:t> </w:t>
      </w:r>
      <w:r>
        <w:rPr>
          <w:u w:val="none"/>
        </w:rPr>
        <w:t>notice</w:t>
      </w:r>
      <w:r>
        <w:rPr>
          <w:spacing w:val="-2"/>
          <w:u w:val="none"/>
        </w:rPr>
        <w:t> </w:t>
      </w:r>
      <w:r>
        <w:rPr>
          <w:u w:val="none"/>
        </w:rPr>
        <w:t>are</w:t>
      </w:r>
      <w:r>
        <w:rPr>
          <w:spacing w:val="-4"/>
          <w:u w:val="none"/>
        </w:rPr>
        <w:t> </w:t>
      </w:r>
      <w:r>
        <w:rPr>
          <w:u w:val="none"/>
        </w:rPr>
        <w:t>deemed</w:t>
      </w:r>
      <w:r>
        <w:rPr>
          <w:spacing w:val="-1"/>
          <w:u w:val="none"/>
        </w:rPr>
        <w:t> </w:t>
      </w:r>
      <w:r>
        <w:rPr>
          <w:u w:val="none"/>
        </w:rPr>
        <w:t>part</w:t>
      </w:r>
      <w:r>
        <w:rPr>
          <w:spacing w:val="-1"/>
          <w:u w:val="none"/>
        </w:rPr>
        <w:t> </w:t>
      </w:r>
      <w:r>
        <w:rPr>
          <w:u w:val="none"/>
        </w:rPr>
        <w:t>of</w:t>
      </w:r>
      <w:r>
        <w:rPr>
          <w:spacing w:val="-3"/>
          <w:u w:val="none"/>
        </w:rPr>
        <w:t> </w:t>
      </w:r>
      <w:r>
        <w:rPr>
          <w:u w:val="none"/>
        </w:rPr>
        <w:t>the</w:t>
      </w:r>
      <w:r>
        <w:rPr>
          <w:spacing w:val="-4"/>
          <w:u w:val="none"/>
        </w:rPr>
        <w:t> </w:t>
      </w:r>
      <w:r>
        <w:rPr>
          <w:u w:val="none"/>
        </w:rPr>
        <w:t>notice</w:t>
      </w:r>
      <w:r>
        <w:rPr>
          <w:spacing w:val="-4"/>
          <w:u w:val="none"/>
        </w:rPr>
        <w:t> </w:t>
      </w:r>
      <w:r>
        <w:rPr>
          <w:u w:val="none"/>
        </w:rPr>
        <w:t>for</w:t>
      </w:r>
      <w:r>
        <w:rPr>
          <w:spacing w:val="-3"/>
          <w:u w:val="none"/>
        </w:rPr>
        <w:t> </w:t>
      </w:r>
      <w:r>
        <w:rPr>
          <w:u w:val="none"/>
        </w:rPr>
        <w:t>purposes</w:t>
      </w:r>
      <w:r>
        <w:rPr>
          <w:spacing w:val="-1"/>
          <w:u w:val="none"/>
        </w:rPr>
        <w:t> </w:t>
      </w:r>
      <w:r>
        <w:rPr>
          <w:u w:val="none"/>
        </w:rPr>
        <w:t>of satisfying notice requirements under the DGCL, the certificate of incorporation or bylaws.</w:t>
      </w:r>
    </w:p>
    <w:p>
      <w:pPr>
        <w:pStyle w:val="Heading2"/>
        <w:spacing w:before="277"/>
        <w:rPr>
          <w:i/>
        </w:rPr>
      </w:pPr>
      <w:r>
        <w:rPr>
          <w:i/>
        </w:rPr>
        <w:t>Merger</w:t>
      </w:r>
      <w:r>
        <w:rPr>
          <w:i/>
          <w:spacing w:val="-10"/>
        </w:rPr>
        <w:t> </w:t>
      </w:r>
      <w:r>
        <w:rPr>
          <w:i/>
        </w:rPr>
        <w:t>Agreements:</w:t>
      </w:r>
      <w:r>
        <w:rPr>
          <w:i/>
          <w:spacing w:val="-9"/>
        </w:rPr>
        <w:t> </w:t>
      </w:r>
      <w:r>
        <w:rPr>
          <w:i/>
          <w:spacing w:val="-2"/>
        </w:rPr>
        <w:t>Remedies</w:t>
      </w:r>
    </w:p>
    <w:p>
      <w:pPr>
        <w:pStyle w:val="BodyText"/>
        <w:spacing w:before="97"/>
        <w:rPr>
          <w:b/>
          <w:i/>
        </w:rPr>
      </w:pPr>
    </w:p>
    <w:p>
      <w:pPr>
        <w:pStyle w:val="BodyText"/>
        <w:spacing w:line="326" w:lineRule="auto" w:before="1"/>
        <w:ind w:left="119" w:right="205"/>
      </w:pPr>
      <w:hyperlink r:id="rId21">
        <w:r>
          <w:rPr>
            <w:b/>
            <w:color w:val="0562C1"/>
            <w:u w:val="single" w:color="0562C1"/>
          </w:rPr>
          <w:t>Section 261(a)(1)</w:t>
        </w:r>
      </w:hyperlink>
      <w:r>
        <w:rPr>
          <w:b/>
          <w:color w:val="0562C1"/>
          <w:u w:val="none"/>
        </w:rPr>
        <w:t> </w:t>
      </w:r>
      <w:r>
        <w:rPr>
          <w:u w:val="none"/>
        </w:rPr>
        <w:t>has been added in response to </w:t>
      </w:r>
      <w:hyperlink r:id="rId22">
        <w:r>
          <w:rPr>
            <w:b/>
            <w:i/>
            <w:color w:val="0562C1"/>
            <w:u w:val="single" w:color="0562C1"/>
          </w:rPr>
          <w:t>Crispo v. Musk</w:t>
        </w:r>
        <w:r>
          <w:rPr>
            <w:b/>
            <w:color w:val="0562C1"/>
            <w:u w:val="single" w:color="0562C1"/>
          </w:rPr>
          <w:t>, 304 A.3d 567 (Del. Ch. 2023)</w:t>
        </w:r>
        <w:r>
          <w:rPr>
            <w:u w:val="none"/>
          </w:rPr>
          <w:t>,</w:t>
        </w:r>
      </w:hyperlink>
      <w:r>
        <w:rPr>
          <w:u w:val="none"/>
        </w:rPr>
        <w:t> where the Court of Chancery concluded that a target company could not enforce a provision in a merger agreement defining damages to include the lost premium for the target stockholders. Under new Section 261(a)(1), a merger agreement may provide for penalties and other consequences for a pre-closing breach or a failure to consummate</w:t>
      </w:r>
      <w:r>
        <w:rPr>
          <w:spacing w:val="-3"/>
          <w:u w:val="none"/>
        </w:rPr>
        <w:t> </w:t>
      </w:r>
      <w:r>
        <w:rPr>
          <w:u w:val="none"/>
        </w:rPr>
        <w:t>the</w:t>
      </w:r>
      <w:r>
        <w:rPr>
          <w:spacing w:val="-3"/>
          <w:u w:val="none"/>
        </w:rPr>
        <w:t> </w:t>
      </w:r>
      <w:r>
        <w:rPr>
          <w:u w:val="none"/>
        </w:rPr>
        <w:t>merger,</w:t>
      </w:r>
      <w:r>
        <w:rPr>
          <w:spacing w:val="-1"/>
          <w:u w:val="none"/>
        </w:rPr>
        <w:t> </w:t>
      </w:r>
      <w:r>
        <w:rPr>
          <w:u w:val="none"/>
        </w:rPr>
        <w:t>including</w:t>
      </w:r>
      <w:r>
        <w:rPr>
          <w:spacing w:val="-5"/>
          <w:u w:val="none"/>
        </w:rPr>
        <w:t> </w:t>
      </w:r>
      <w:r>
        <w:rPr>
          <w:u w:val="none"/>
        </w:rPr>
        <w:t>damages</w:t>
      </w:r>
      <w:r>
        <w:rPr>
          <w:spacing w:val="-4"/>
          <w:u w:val="none"/>
        </w:rPr>
        <w:t> </w:t>
      </w:r>
      <w:r>
        <w:rPr>
          <w:u w:val="none"/>
        </w:rPr>
        <w:t>based</w:t>
      </w:r>
      <w:r>
        <w:rPr>
          <w:spacing w:val="-2"/>
          <w:u w:val="none"/>
        </w:rPr>
        <w:t> </w:t>
      </w:r>
      <w:r>
        <w:rPr>
          <w:u w:val="none"/>
        </w:rPr>
        <w:t>on</w:t>
      </w:r>
      <w:r>
        <w:rPr>
          <w:spacing w:val="-4"/>
          <w:u w:val="none"/>
        </w:rPr>
        <w:t> </w:t>
      </w:r>
      <w:r>
        <w:rPr>
          <w:u w:val="none"/>
        </w:rPr>
        <w:t>a</w:t>
      </w:r>
      <w:r>
        <w:rPr>
          <w:spacing w:val="-2"/>
          <w:u w:val="none"/>
        </w:rPr>
        <w:t> </w:t>
      </w:r>
      <w:r>
        <w:rPr>
          <w:u w:val="none"/>
        </w:rPr>
        <w:t>lost</w:t>
      </w:r>
      <w:r>
        <w:rPr>
          <w:spacing w:val="-4"/>
          <w:u w:val="none"/>
        </w:rPr>
        <w:t> </w:t>
      </w:r>
      <w:r>
        <w:rPr>
          <w:u w:val="none"/>
        </w:rPr>
        <w:t>premium.</w:t>
      </w:r>
      <w:r>
        <w:rPr>
          <w:spacing w:val="-3"/>
          <w:u w:val="none"/>
        </w:rPr>
        <w:t> </w:t>
      </w:r>
      <w:r>
        <w:rPr>
          <w:u w:val="none"/>
        </w:rPr>
        <w:t>Section</w:t>
      </w:r>
      <w:r>
        <w:rPr>
          <w:spacing w:val="-2"/>
          <w:u w:val="none"/>
        </w:rPr>
        <w:t> </w:t>
      </w:r>
      <w:r>
        <w:rPr>
          <w:u w:val="none"/>
        </w:rPr>
        <w:t>261(a)(1)</w:t>
      </w:r>
      <w:r>
        <w:rPr>
          <w:spacing w:val="-2"/>
          <w:u w:val="none"/>
        </w:rPr>
        <w:t> </w:t>
      </w:r>
      <w:r>
        <w:rPr>
          <w:u w:val="none"/>
        </w:rPr>
        <w:t>also</w:t>
      </w:r>
      <w:r>
        <w:rPr>
          <w:spacing w:val="-2"/>
          <w:u w:val="none"/>
        </w:rPr>
        <w:t> </w:t>
      </w:r>
      <w:r>
        <w:rPr>
          <w:u w:val="none"/>
        </w:rPr>
        <w:t>confirms</w:t>
      </w:r>
      <w:r>
        <w:rPr>
          <w:spacing w:val="-2"/>
          <w:u w:val="none"/>
        </w:rPr>
        <w:t> </w:t>
      </w:r>
      <w:r>
        <w:rPr>
          <w:u w:val="none"/>
        </w:rPr>
        <w:t>that</w:t>
      </w:r>
      <w:r>
        <w:rPr>
          <w:spacing w:val="-2"/>
          <w:u w:val="none"/>
        </w:rPr>
        <w:t> </w:t>
      </w:r>
      <w:r>
        <w:rPr>
          <w:u w:val="none"/>
        </w:rPr>
        <w:t>the corporation is entitled to enforce such provisions and retain payments owed under such provisions.</w:t>
      </w:r>
    </w:p>
    <w:p>
      <w:pPr>
        <w:pStyle w:val="BodyText"/>
        <w:spacing w:line="326" w:lineRule="auto" w:before="285"/>
        <w:ind w:left="119" w:right="205"/>
      </w:pPr>
      <w:hyperlink r:id="rId21">
        <w:r>
          <w:rPr>
            <w:b/>
            <w:color w:val="0562C1"/>
            <w:u w:val="single" w:color="0562C1"/>
          </w:rPr>
          <w:t>Section 261(a)(2)</w:t>
        </w:r>
      </w:hyperlink>
      <w:r>
        <w:rPr>
          <w:b/>
          <w:color w:val="0562C1"/>
          <w:u w:val="none"/>
        </w:rPr>
        <w:t> </w:t>
      </w:r>
      <w:r>
        <w:rPr>
          <w:u w:val="none"/>
        </w:rPr>
        <w:t>has been added to confirm that a merger agreement may provide for a stockholders’ representative with exclusive authority to enforce stockholders’ rights under the agreement, such as an indemnification or escrow arrangement. Section 261(a)(2) does not empower a representative to exercise powers beyond those related to the enforcement of stockholder rights under the agreement. For example, Section</w:t>
      </w:r>
      <w:r>
        <w:rPr>
          <w:spacing w:val="-2"/>
          <w:u w:val="none"/>
        </w:rPr>
        <w:t> </w:t>
      </w:r>
      <w:r>
        <w:rPr>
          <w:u w:val="none"/>
        </w:rPr>
        <w:t>261(a)(2)</w:t>
      </w:r>
      <w:r>
        <w:rPr>
          <w:spacing w:val="-2"/>
          <w:u w:val="none"/>
        </w:rPr>
        <w:t> </w:t>
      </w:r>
      <w:r>
        <w:rPr>
          <w:u w:val="none"/>
        </w:rPr>
        <w:t>does</w:t>
      </w:r>
      <w:r>
        <w:rPr>
          <w:spacing w:val="-4"/>
          <w:u w:val="none"/>
        </w:rPr>
        <w:t> </w:t>
      </w:r>
      <w:r>
        <w:rPr>
          <w:u w:val="none"/>
        </w:rPr>
        <w:t>not</w:t>
      </w:r>
      <w:r>
        <w:rPr>
          <w:spacing w:val="-2"/>
          <w:u w:val="none"/>
        </w:rPr>
        <w:t> </w:t>
      </w:r>
      <w:r>
        <w:rPr>
          <w:u w:val="none"/>
        </w:rPr>
        <w:t>empower</w:t>
      </w:r>
      <w:r>
        <w:rPr>
          <w:spacing w:val="-2"/>
          <w:u w:val="none"/>
        </w:rPr>
        <w:t> </w:t>
      </w:r>
      <w:r>
        <w:rPr>
          <w:u w:val="none"/>
        </w:rPr>
        <w:t>a</w:t>
      </w:r>
      <w:r>
        <w:rPr>
          <w:spacing w:val="-4"/>
          <w:u w:val="none"/>
        </w:rPr>
        <w:t> </w:t>
      </w:r>
      <w:r>
        <w:rPr>
          <w:u w:val="none"/>
        </w:rPr>
        <w:t>representative</w:t>
      </w:r>
      <w:r>
        <w:rPr>
          <w:spacing w:val="-3"/>
          <w:u w:val="none"/>
        </w:rPr>
        <w:t> </w:t>
      </w:r>
      <w:r>
        <w:rPr>
          <w:u w:val="none"/>
        </w:rPr>
        <w:t>to</w:t>
      </w:r>
      <w:r>
        <w:rPr>
          <w:spacing w:val="-2"/>
          <w:u w:val="none"/>
        </w:rPr>
        <w:t> </w:t>
      </w:r>
      <w:r>
        <w:rPr>
          <w:u w:val="none"/>
        </w:rPr>
        <w:t>waive</w:t>
      </w:r>
      <w:r>
        <w:rPr>
          <w:spacing w:val="-3"/>
          <w:u w:val="none"/>
        </w:rPr>
        <w:t> </w:t>
      </w:r>
      <w:r>
        <w:rPr>
          <w:u w:val="none"/>
        </w:rPr>
        <w:t>stockholders’</w:t>
      </w:r>
      <w:r>
        <w:rPr>
          <w:spacing w:val="-2"/>
          <w:u w:val="none"/>
        </w:rPr>
        <w:t> </w:t>
      </w:r>
      <w:r>
        <w:rPr>
          <w:u w:val="none"/>
        </w:rPr>
        <w:t>appraisal</w:t>
      </w:r>
      <w:r>
        <w:rPr>
          <w:spacing w:val="-2"/>
          <w:u w:val="none"/>
        </w:rPr>
        <w:t> </w:t>
      </w:r>
      <w:r>
        <w:rPr>
          <w:u w:val="none"/>
        </w:rPr>
        <w:t>rights</w:t>
      </w:r>
      <w:r>
        <w:rPr>
          <w:spacing w:val="-2"/>
          <w:u w:val="none"/>
        </w:rPr>
        <w:t> </w:t>
      </w:r>
      <w:r>
        <w:rPr>
          <w:u w:val="none"/>
        </w:rPr>
        <w:t>or</w:t>
      </w:r>
      <w:r>
        <w:rPr>
          <w:spacing w:val="-4"/>
          <w:u w:val="none"/>
        </w:rPr>
        <w:t> </w:t>
      </w:r>
      <w:r>
        <w:rPr>
          <w:u w:val="none"/>
        </w:rPr>
        <w:t>fiduciary</w:t>
      </w:r>
      <w:r>
        <w:rPr>
          <w:spacing w:val="-3"/>
          <w:u w:val="none"/>
        </w:rPr>
        <w:t> </w:t>
      </w:r>
      <w:r>
        <w:rPr>
          <w:u w:val="none"/>
        </w:rPr>
        <w:t>claims or bind stockholders to restrictive covenants.</w:t>
      </w:r>
    </w:p>
    <w:p>
      <w:pPr>
        <w:pStyle w:val="BodyText"/>
        <w:spacing w:before="3"/>
      </w:pPr>
    </w:p>
    <w:p>
      <w:pPr>
        <w:pStyle w:val="Heading2"/>
        <w:rPr>
          <w:i/>
        </w:rPr>
      </w:pPr>
      <w:r>
        <w:rPr>
          <w:i/>
        </w:rPr>
        <w:t>Merger</w:t>
      </w:r>
      <w:r>
        <w:rPr>
          <w:i/>
          <w:spacing w:val="-10"/>
        </w:rPr>
        <w:t> </w:t>
      </w:r>
      <w:r>
        <w:rPr>
          <w:i/>
        </w:rPr>
        <w:t>Agreements:</w:t>
      </w:r>
      <w:r>
        <w:rPr>
          <w:i/>
          <w:spacing w:val="-7"/>
        </w:rPr>
        <w:t> </w:t>
      </w:r>
      <w:r>
        <w:rPr>
          <w:i/>
          <w:spacing w:val="-2"/>
        </w:rPr>
        <w:t>Approvals</w:t>
      </w:r>
    </w:p>
    <w:p>
      <w:pPr>
        <w:pStyle w:val="BodyText"/>
        <w:spacing w:before="97"/>
        <w:rPr>
          <w:b/>
          <w:i/>
        </w:rPr>
      </w:pPr>
    </w:p>
    <w:p>
      <w:pPr>
        <w:pStyle w:val="BodyText"/>
        <w:spacing w:before="1"/>
        <w:ind w:left="120"/>
      </w:pPr>
      <w:r>
        <w:rPr/>
        <w:t>A</w:t>
      </w:r>
      <w:r>
        <w:rPr>
          <w:spacing w:val="-5"/>
        </w:rPr>
        <w:t> </w:t>
      </w:r>
      <w:r>
        <w:rPr/>
        <w:t>new</w:t>
      </w:r>
      <w:r>
        <w:rPr>
          <w:spacing w:val="-6"/>
        </w:rPr>
        <w:t> </w:t>
      </w:r>
      <w:hyperlink r:id="rId23">
        <w:r>
          <w:rPr>
            <w:b/>
            <w:color w:val="0562C1"/>
            <w:u w:val="single" w:color="0562C1"/>
          </w:rPr>
          <w:t>Section</w:t>
        </w:r>
        <w:r>
          <w:rPr>
            <w:b/>
            <w:color w:val="0562C1"/>
            <w:spacing w:val="-4"/>
            <w:u w:val="single" w:color="0562C1"/>
          </w:rPr>
          <w:t> </w:t>
        </w:r>
        <w:r>
          <w:rPr>
            <w:b/>
            <w:color w:val="0562C1"/>
            <w:u w:val="single" w:color="0562C1"/>
          </w:rPr>
          <w:t>268</w:t>
        </w:r>
      </w:hyperlink>
      <w:r>
        <w:rPr>
          <w:b/>
          <w:color w:val="0562C1"/>
          <w:spacing w:val="-5"/>
          <w:u w:val="none"/>
        </w:rPr>
        <w:t> </w:t>
      </w:r>
      <w:r>
        <w:rPr>
          <w:u w:val="none"/>
        </w:rPr>
        <w:t>has</w:t>
      </w:r>
      <w:r>
        <w:rPr>
          <w:spacing w:val="-4"/>
          <w:u w:val="none"/>
        </w:rPr>
        <w:t> </w:t>
      </w:r>
      <w:r>
        <w:rPr>
          <w:u w:val="none"/>
        </w:rPr>
        <w:t>been</w:t>
      </w:r>
      <w:r>
        <w:rPr>
          <w:spacing w:val="-3"/>
          <w:u w:val="none"/>
        </w:rPr>
        <w:t> </w:t>
      </w:r>
      <w:r>
        <w:rPr>
          <w:u w:val="none"/>
        </w:rPr>
        <w:t>added</w:t>
      </w:r>
      <w:r>
        <w:rPr>
          <w:spacing w:val="-3"/>
          <w:u w:val="none"/>
        </w:rPr>
        <w:t> </w:t>
      </w:r>
      <w:r>
        <w:rPr>
          <w:u w:val="none"/>
        </w:rPr>
        <w:t>to</w:t>
      </w:r>
      <w:r>
        <w:rPr>
          <w:spacing w:val="-7"/>
          <w:u w:val="none"/>
        </w:rPr>
        <w:t> </w:t>
      </w:r>
      <w:r>
        <w:rPr>
          <w:u w:val="none"/>
        </w:rPr>
        <w:t>streamline</w:t>
      </w:r>
      <w:r>
        <w:rPr>
          <w:spacing w:val="-6"/>
          <w:u w:val="none"/>
        </w:rPr>
        <w:t> </w:t>
      </w:r>
      <w:r>
        <w:rPr>
          <w:u w:val="none"/>
        </w:rPr>
        <w:t>certain</w:t>
      </w:r>
      <w:r>
        <w:rPr>
          <w:spacing w:val="-5"/>
          <w:u w:val="none"/>
        </w:rPr>
        <w:t> </w:t>
      </w:r>
      <w:r>
        <w:rPr>
          <w:u w:val="none"/>
        </w:rPr>
        <w:t>aspects</w:t>
      </w:r>
      <w:r>
        <w:rPr>
          <w:spacing w:val="-4"/>
          <w:u w:val="none"/>
        </w:rPr>
        <w:t> </w:t>
      </w:r>
      <w:r>
        <w:rPr>
          <w:u w:val="none"/>
        </w:rPr>
        <w:t>of</w:t>
      </w:r>
      <w:r>
        <w:rPr>
          <w:spacing w:val="-2"/>
          <w:u w:val="none"/>
        </w:rPr>
        <w:t> </w:t>
      </w:r>
      <w:r>
        <w:rPr>
          <w:u w:val="none"/>
        </w:rPr>
        <w:t>the</w:t>
      </w:r>
      <w:r>
        <w:rPr>
          <w:spacing w:val="-7"/>
          <w:u w:val="none"/>
        </w:rPr>
        <w:t> </w:t>
      </w:r>
      <w:r>
        <w:rPr>
          <w:u w:val="none"/>
        </w:rPr>
        <w:t>approval</w:t>
      </w:r>
      <w:r>
        <w:rPr>
          <w:spacing w:val="-6"/>
          <w:u w:val="none"/>
        </w:rPr>
        <w:t> </w:t>
      </w:r>
      <w:r>
        <w:rPr>
          <w:u w:val="none"/>
        </w:rPr>
        <w:t>process</w:t>
      </w:r>
      <w:r>
        <w:rPr>
          <w:spacing w:val="-5"/>
          <w:u w:val="none"/>
        </w:rPr>
        <w:t> </w:t>
      </w:r>
      <w:r>
        <w:rPr>
          <w:u w:val="none"/>
        </w:rPr>
        <w:t>for</w:t>
      </w:r>
      <w:r>
        <w:rPr>
          <w:spacing w:val="-5"/>
          <w:u w:val="none"/>
        </w:rPr>
        <w:t> </w:t>
      </w:r>
      <w:r>
        <w:rPr>
          <w:spacing w:val="-2"/>
          <w:u w:val="none"/>
        </w:rPr>
        <w:t>mergers.</w:t>
      </w:r>
    </w:p>
    <w:p>
      <w:pPr>
        <w:pStyle w:val="BodyText"/>
        <w:spacing w:before="95"/>
      </w:pPr>
    </w:p>
    <w:p>
      <w:pPr>
        <w:pStyle w:val="BodyText"/>
        <w:spacing w:line="326" w:lineRule="auto"/>
        <w:ind w:left="119" w:right="205"/>
      </w:pPr>
      <w:r>
        <w:rPr/>
        <w:t>Section 268(a) relates to the requirement under </w:t>
      </w:r>
      <w:hyperlink r:id="rId24">
        <w:r>
          <w:rPr>
            <w:b/>
            <w:color w:val="0562C1"/>
            <w:u w:val="single" w:color="0562C1"/>
          </w:rPr>
          <w:t>Section 251(b)</w:t>
        </w:r>
      </w:hyperlink>
      <w:r>
        <w:rPr>
          <w:b/>
          <w:color w:val="0562C1"/>
          <w:u w:val="none"/>
        </w:rPr>
        <w:t> </w:t>
      </w:r>
      <w:r>
        <w:rPr>
          <w:u w:val="none"/>
        </w:rPr>
        <w:t>that a merger agreement include a provision addressing the changes, if any, to the certificate of incorporation of the surviving corporation in the merger. Section 268(a) provides that, if all the shares of a constituent corporation are being converted into or exchanged for cash, property, rights or securities (other than stock of the surviving corporation), the merger agreement</w:t>
      </w:r>
      <w:r>
        <w:rPr>
          <w:spacing w:val="-3"/>
          <w:u w:val="none"/>
        </w:rPr>
        <w:t> </w:t>
      </w:r>
      <w:r>
        <w:rPr>
          <w:u w:val="none"/>
        </w:rPr>
        <w:t>does</w:t>
      </w:r>
      <w:r>
        <w:rPr>
          <w:spacing w:val="-3"/>
          <w:u w:val="none"/>
        </w:rPr>
        <w:t> </w:t>
      </w:r>
      <w:r>
        <w:rPr>
          <w:u w:val="none"/>
        </w:rPr>
        <w:t>not</w:t>
      </w:r>
      <w:r>
        <w:rPr>
          <w:spacing w:val="-3"/>
          <w:u w:val="none"/>
        </w:rPr>
        <w:t> </w:t>
      </w:r>
      <w:r>
        <w:rPr>
          <w:u w:val="none"/>
        </w:rPr>
        <w:t>have</w:t>
      </w:r>
      <w:r>
        <w:rPr>
          <w:spacing w:val="-2"/>
          <w:u w:val="none"/>
        </w:rPr>
        <w:t> </w:t>
      </w:r>
      <w:r>
        <w:rPr>
          <w:u w:val="none"/>
        </w:rPr>
        <w:t>to</w:t>
      </w:r>
      <w:r>
        <w:rPr>
          <w:spacing w:val="-1"/>
          <w:u w:val="none"/>
        </w:rPr>
        <w:t> </w:t>
      </w:r>
      <w:r>
        <w:rPr>
          <w:u w:val="none"/>
        </w:rPr>
        <w:t>include</w:t>
      </w:r>
      <w:r>
        <w:rPr>
          <w:spacing w:val="-2"/>
          <w:u w:val="none"/>
        </w:rPr>
        <w:t> </w:t>
      </w:r>
      <w:r>
        <w:rPr>
          <w:u w:val="none"/>
        </w:rPr>
        <w:t>such</w:t>
      </w:r>
      <w:r>
        <w:rPr>
          <w:spacing w:val="-3"/>
          <w:u w:val="none"/>
        </w:rPr>
        <w:t> </w:t>
      </w:r>
      <w:r>
        <w:rPr>
          <w:u w:val="none"/>
        </w:rPr>
        <w:t>a</w:t>
      </w:r>
      <w:r>
        <w:rPr>
          <w:spacing w:val="-1"/>
          <w:u w:val="none"/>
        </w:rPr>
        <w:t> </w:t>
      </w:r>
      <w:r>
        <w:rPr>
          <w:u w:val="none"/>
        </w:rPr>
        <w:t>provision</w:t>
      </w:r>
      <w:r>
        <w:rPr>
          <w:spacing w:val="-1"/>
          <w:u w:val="none"/>
        </w:rPr>
        <w:t> </w:t>
      </w:r>
      <w:r>
        <w:rPr>
          <w:u w:val="none"/>
        </w:rPr>
        <w:t>with</w:t>
      </w:r>
      <w:r>
        <w:rPr>
          <w:spacing w:val="-3"/>
          <w:u w:val="none"/>
        </w:rPr>
        <w:t> </w:t>
      </w:r>
      <w:r>
        <w:rPr>
          <w:u w:val="none"/>
        </w:rPr>
        <w:t>respect</w:t>
      </w:r>
      <w:r>
        <w:rPr>
          <w:spacing w:val="-3"/>
          <w:u w:val="none"/>
        </w:rPr>
        <w:t> </w:t>
      </w:r>
      <w:r>
        <w:rPr>
          <w:u w:val="none"/>
        </w:rPr>
        <w:t>to</w:t>
      </w:r>
      <w:r>
        <w:rPr>
          <w:spacing w:val="-4"/>
          <w:u w:val="none"/>
        </w:rPr>
        <w:t> </w:t>
      </w:r>
      <w:r>
        <w:rPr>
          <w:u w:val="none"/>
        </w:rPr>
        <w:t>such</w:t>
      </w:r>
      <w:r>
        <w:rPr>
          <w:spacing w:val="-3"/>
          <w:u w:val="none"/>
        </w:rPr>
        <w:t> </w:t>
      </w:r>
      <w:r>
        <w:rPr>
          <w:u w:val="none"/>
        </w:rPr>
        <w:t>constituent</w:t>
      </w:r>
      <w:r>
        <w:rPr>
          <w:spacing w:val="-3"/>
          <w:u w:val="none"/>
        </w:rPr>
        <w:t> </w:t>
      </w:r>
      <w:r>
        <w:rPr>
          <w:u w:val="none"/>
        </w:rPr>
        <w:t>corporation.</w:t>
      </w:r>
      <w:r>
        <w:rPr>
          <w:spacing w:val="-2"/>
          <w:u w:val="none"/>
        </w:rPr>
        <w:t> </w:t>
      </w:r>
      <w:r>
        <w:rPr>
          <w:u w:val="none"/>
        </w:rPr>
        <w:t>In</w:t>
      </w:r>
      <w:r>
        <w:rPr>
          <w:spacing w:val="-3"/>
          <w:u w:val="none"/>
        </w:rPr>
        <w:t> </w:t>
      </w:r>
      <w:r>
        <w:rPr>
          <w:u w:val="none"/>
        </w:rPr>
        <w:t>addition, any amendments to the certificate of incorporation of the surviving corporation to be effected in the merger may be approved by, or at the direction of, the board of such corporation (or by the other constituent entity's board or</w:t>
      </w:r>
      <w:r>
        <w:rPr>
          <w:spacing w:val="-2"/>
          <w:u w:val="none"/>
        </w:rPr>
        <w:t> </w:t>
      </w:r>
      <w:r>
        <w:rPr>
          <w:u w:val="none"/>
        </w:rPr>
        <w:t>governing body, if the</w:t>
      </w:r>
      <w:r>
        <w:rPr>
          <w:spacing w:val="-1"/>
          <w:u w:val="none"/>
        </w:rPr>
        <w:t> </w:t>
      </w:r>
      <w:r>
        <w:rPr>
          <w:u w:val="none"/>
        </w:rPr>
        <w:t>equity</w:t>
      </w:r>
      <w:r>
        <w:rPr>
          <w:spacing w:val="-3"/>
          <w:u w:val="none"/>
        </w:rPr>
        <w:t> </w:t>
      </w:r>
      <w:r>
        <w:rPr>
          <w:u w:val="none"/>
        </w:rPr>
        <w:t>interests of</w:t>
      </w:r>
      <w:r>
        <w:rPr>
          <w:spacing w:val="-2"/>
          <w:u w:val="none"/>
        </w:rPr>
        <w:t> </w:t>
      </w:r>
      <w:r>
        <w:rPr>
          <w:u w:val="none"/>
        </w:rPr>
        <w:t>such</w:t>
      </w:r>
      <w:r>
        <w:rPr>
          <w:spacing w:val="-2"/>
          <w:u w:val="none"/>
        </w:rPr>
        <w:t> </w:t>
      </w:r>
      <w:r>
        <w:rPr>
          <w:u w:val="none"/>
        </w:rPr>
        <w:t>entity</w:t>
      </w:r>
      <w:r>
        <w:rPr>
          <w:spacing w:val="-1"/>
          <w:u w:val="none"/>
        </w:rPr>
        <w:t> </w:t>
      </w:r>
      <w:r>
        <w:rPr>
          <w:u w:val="none"/>
        </w:rPr>
        <w:t>are</w:t>
      </w:r>
      <w:r>
        <w:rPr>
          <w:spacing w:val="-1"/>
          <w:u w:val="none"/>
        </w:rPr>
        <w:t> </w:t>
      </w:r>
      <w:r>
        <w:rPr>
          <w:u w:val="none"/>
        </w:rPr>
        <w:t>converted into</w:t>
      </w:r>
      <w:r>
        <w:rPr>
          <w:spacing w:val="-3"/>
          <w:u w:val="none"/>
        </w:rPr>
        <w:t> </w:t>
      </w:r>
      <w:r>
        <w:rPr>
          <w:u w:val="none"/>
        </w:rPr>
        <w:t>all the</w:t>
      </w:r>
      <w:r>
        <w:rPr>
          <w:spacing w:val="-1"/>
          <w:u w:val="none"/>
        </w:rPr>
        <w:t> </w:t>
      </w:r>
      <w:r>
        <w:rPr>
          <w:u w:val="none"/>
        </w:rPr>
        <w:t>shares of</w:t>
      </w:r>
      <w:r>
        <w:rPr>
          <w:spacing w:val="-2"/>
          <w:u w:val="none"/>
        </w:rPr>
        <w:t> </w:t>
      </w:r>
      <w:r>
        <w:rPr>
          <w:u w:val="none"/>
        </w:rPr>
        <w:t>the</w:t>
      </w:r>
      <w:r>
        <w:rPr>
          <w:spacing w:val="-1"/>
          <w:u w:val="none"/>
        </w:rPr>
        <w:t> </w:t>
      </w:r>
      <w:r>
        <w:rPr>
          <w:u w:val="none"/>
        </w:rPr>
        <w:t>surviving corporation)</w:t>
      </w:r>
      <w:r>
        <w:rPr>
          <w:spacing w:val="-1"/>
          <w:u w:val="none"/>
        </w:rPr>
        <w:t> </w:t>
      </w:r>
      <w:r>
        <w:rPr>
          <w:u w:val="none"/>
        </w:rPr>
        <w:t>and any amendments to</w:t>
      </w:r>
      <w:r>
        <w:rPr>
          <w:spacing w:val="-2"/>
          <w:u w:val="none"/>
        </w:rPr>
        <w:t> </w:t>
      </w:r>
      <w:r>
        <w:rPr>
          <w:u w:val="none"/>
        </w:rPr>
        <w:t>the certificate of incorporation will not be deemed</w:t>
      </w:r>
      <w:r>
        <w:rPr>
          <w:spacing w:val="-1"/>
          <w:u w:val="none"/>
        </w:rPr>
        <w:t> </w:t>
      </w:r>
      <w:r>
        <w:rPr>
          <w:u w:val="none"/>
        </w:rPr>
        <w:t>to be</w:t>
      </w:r>
      <w:r>
        <w:rPr>
          <w:spacing w:val="-2"/>
          <w:u w:val="none"/>
        </w:rPr>
        <w:t> </w:t>
      </w:r>
      <w:r>
        <w:rPr>
          <w:u w:val="none"/>
        </w:rPr>
        <w:t>an</w:t>
      </w:r>
      <w:r>
        <w:rPr>
          <w:spacing w:val="-1"/>
          <w:u w:val="none"/>
        </w:rPr>
        <w:t> </w:t>
      </w:r>
      <w:r>
        <w:rPr>
          <w:u w:val="none"/>
        </w:rPr>
        <w:t>amendment to the merger agreement. Section 268(a) is intended to afford the buyer in a reverse triangular merger with</w:t>
      </w:r>
    </w:p>
    <w:p>
      <w:pPr>
        <w:spacing w:after="0" w:line="326" w:lineRule="auto"/>
        <w:sectPr>
          <w:pgSz w:w="12240" w:h="15840"/>
          <w:pgMar w:header="0" w:footer="272" w:top="740" w:bottom="460" w:left="600" w:right="520"/>
        </w:sectPr>
      </w:pPr>
    </w:p>
    <w:p>
      <w:pPr>
        <w:pStyle w:val="BodyText"/>
        <w:spacing w:line="328" w:lineRule="auto" w:before="84"/>
        <w:ind w:left="120" w:right="205"/>
      </w:pPr>
      <w:r>
        <w:rPr/>
        <w:t>more</w:t>
      </w:r>
      <w:r>
        <w:rPr>
          <w:spacing w:val="-5"/>
        </w:rPr>
        <w:t> </w:t>
      </w:r>
      <w:r>
        <w:rPr/>
        <w:t>flexibility</w:t>
      </w:r>
      <w:r>
        <w:rPr>
          <w:spacing w:val="-3"/>
        </w:rPr>
        <w:t> </w:t>
      </w:r>
      <w:r>
        <w:rPr/>
        <w:t>over</w:t>
      </w:r>
      <w:r>
        <w:rPr>
          <w:spacing w:val="-2"/>
        </w:rPr>
        <w:t> </w:t>
      </w:r>
      <w:r>
        <w:rPr/>
        <w:t>the</w:t>
      </w:r>
      <w:r>
        <w:rPr>
          <w:spacing w:val="-5"/>
        </w:rPr>
        <w:t> </w:t>
      </w:r>
      <w:r>
        <w:rPr/>
        <w:t>approval</w:t>
      </w:r>
      <w:r>
        <w:rPr>
          <w:spacing w:val="-2"/>
        </w:rPr>
        <w:t> </w:t>
      </w:r>
      <w:r>
        <w:rPr/>
        <w:t>and</w:t>
      </w:r>
      <w:r>
        <w:rPr>
          <w:spacing w:val="-4"/>
        </w:rPr>
        <w:t> </w:t>
      </w:r>
      <w:r>
        <w:rPr/>
        <w:t>modification</w:t>
      </w:r>
      <w:r>
        <w:rPr>
          <w:spacing w:val="-2"/>
        </w:rPr>
        <w:t> </w:t>
      </w:r>
      <w:r>
        <w:rPr/>
        <w:t>of</w:t>
      </w:r>
      <w:r>
        <w:rPr>
          <w:spacing w:val="-1"/>
        </w:rPr>
        <w:t> </w:t>
      </w:r>
      <w:r>
        <w:rPr/>
        <w:t>the</w:t>
      </w:r>
      <w:r>
        <w:rPr>
          <w:spacing w:val="-3"/>
        </w:rPr>
        <w:t> </w:t>
      </w:r>
      <w:r>
        <w:rPr/>
        <w:t>certificate</w:t>
      </w:r>
      <w:r>
        <w:rPr>
          <w:spacing w:val="-5"/>
        </w:rPr>
        <w:t> </w:t>
      </w:r>
      <w:r>
        <w:rPr/>
        <w:t>of</w:t>
      </w:r>
      <w:r>
        <w:rPr>
          <w:spacing w:val="-1"/>
        </w:rPr>
        <w:t> </w:t>
      </w:r>
      <w:r>
        <w:rPr/>
        <w:t>incorporation</w:t>
      </w:r>
      <w:r>
        <w:rPr>
          <w:spacing w:val="-2"/>
        </w:rPr>
        <w:t> </w:t>
      </w:r>
      <w:r>
        <w:rPr/>
        <w:t>of</w:t>
      </w:r>
      <w:r>
        <w:rPr>
          <w:spacing w:val="-1"/>
        </w:rPr>
        <w:t> </w:t>
      </w:r>
      <w:r>
        <w:rPr/>
        <w:t>the</w:t>
      </w:r>
      <w:r>
        <w:rPr>
          <w:spacing w:val="-5"/>
        </w:rPr>
        <w:t> </w:t>
      </w:r>
      <w:r>
        <w:rPr/>
        <w:t>surviving corporation (which will be wholly owned by the buyer following the merger).</w:t>
      </w:r>
    </w:p>
    <w:p>
      <w:pPr>
        <w:pStyle w:val="BodyText"/>
        <w:spacing w:line="328" w:lineRule="auto" w:before="275"/>
        <w:ind w:left="119" w:right="205"/>
      </w:pPr>
      <w:r>
        <w:rPr/>
        <w:t>Section 268(b) also provides that disclosure schedules and similar documents delivered in connection with merger agreements will not be deemed to be a part of the merger agreement for purposes of the DGCL. This provision confirms that officers may prepare disclosure schedules at the direction of the board and that such schedules</w:t>
      </w:r>
      <w:r>
        <w:rPr>
          <w:spacing w:val="-3"/>
        </w:rPr>
        <w:t> </w:t>
      </w:r>
      <w:r>
        <w:rPr/>
        <w:t>are</w:t>
      </w:r>
      <w:r>
        <w:rPr>
          <w:spacing w:val="-4"/>
        </w:rPr>
        <w:t> </w:t>
      </w:r>
      <w:r>
        <w:rPr/>
        <w:t>not</w:t>
      </w:r>
      <w:r>
        <w:rPr>
          <w:spacing w:val="-3"/>
        </w:rPr>
        <w:t> </w:t>
      </w:r>
      <w:r>
        <w:rPr/>
        <w:t>part</w:t>
      </w:r>
      <w:r>
        <w:rPr>
          <w:spacing w:val="-3"/>
        </w:rPr>
        <w:t> </w:t>
      </w:r>
      <w:r>
        <w:rPr/>
        <w:t>of</w:t>
      </w:r>
      <w:r>
        <w:rPr>
          <w:spacing w:val="-3"/>
        </w:rPr>
        <w:t> </w:t>
      </w:r>
      <w:r>
        <w:rPr/>
        <w:t>the</w:t>
      </w:r>
      <w:r>
        <w:rPr>
          <w:spacing w:val="-2"/>
        </w:rPr>
        <w:t> </w:t>
      </w:r>
      <w:r>
        <w:rPr/>
        <w:t>merger</w:t>
      </w:r>
      <w:r>
        <w:rPr>
          <w:spacing w:val="-1"/>
        </w:rPr>
        <w:t> </w:t>
      </w:r>
      <w:r>
        <w:rPr/>
        <w:t>agreement</w:t>
      </w:r>
      <w:r>
        <w:rPr>
          <w:spacing w:val="-1"/>
        </w:rPr>
        <w:t> </w:t>
      </w:r>
      <w:r>
        <w:rPr/>
        <w:t>for</w:t>
      </w:r>
      <w:r>
        <w:rPr>
          <w:spacing w:val="-1"/>
        </w:rPr>
        <w:t> </w:t>
      </w:r>
      <w:r>
        <w:rPr/>
        <w:t>purposes</w:t>
      </w:r>
      <w:r>
        <w:rPr>
          <w:spacing w:val="-1"/>
        </w:rPr>
        <w:t> </w:t>
      </w:r>
      <w:r>
        <w:rPr/>
        <w:t>of</w:t>
      </w:r>
      <w:r>
        <w:rPr>
          <w:spacing w:val="-3"/>
        </w:rPr>
        <w:t> </w:t>
      </w:r>
      <w:r>
        <w:rPr/>
        <w:t>board</w:t>
      </w:r>
      <w:r>
        <w:rPr>
          <w:spacing w:val="-3"/>
        </w:rPr>
        <w:t> </w:t>
      </w:r>
      <w:r>
        <w:rPr/>
        <w:t>and</w:t>
      </w:r>
      <w:r>
        <w:rPr>
          <w:spacing w:val="-1"/>
        </w:rPr>
        <w:t> </w:t>
      </w:r>
      <w:r>
        <w:rPr/>
        <w:t>stockholder</w:t>
      </w:r>
      <w:r>
        <w:rPr>
          <w:spacing w:val="-3"/>
        </w:rPr>
        <w:t> </w:t>
      </w:r>
      <w:r>
        <w:rPr/>
        <w:t>approval</w:t>
      </w:r>
      <w:r>
        <w:rPr>
          <w:spacing w:val="-1"/>
        </w:rPr>
        <w:t> </w:t>
      </w:r>
      <w:r>
        <w:rPr/>
        <w:t>for</w:t>
      </w:r>
      <w:r>
        <w:rPr>
          <w:spacing w:val="-1"/>
        </w:rPr>
        <w:t> </w:t>
      </w:r>
      <w:r>
        <w:rPr/>
        <w:t>statutory (as opposed to fiduciary) purposes.</w:t>
      </w:r>
    </w:p>
    <w:p>
      <w:pPr>
        <w:pStyle w:val="Heading1"/>
        <w:spacing w:before="273"/>
      </w:pPr>
      <w:r>
        <w:rPr/>
        <w:t>Amendments</w:t>
      </w:r>
      <w:r>
        <w:rPr>
          <w:spacing w:val="-10"/>
        </w:rPr>
        <w:t> </w:t>
      </w:r>
      <w:r>
        <w:rPr/>
        <w:t>Common</w:t>
      </w:r>
      <w:r>
        <w:rPr>
          <w:spacing w:val="-7"/>
        </w:rPr>
        <w:t> </w:t>
      </w:r>
      <w:r>
        <w:rPr/>
        <w:t>to</w:t>
      </w:r>
      <w:r>
        <w:rPr>
          <w:spacing w:val="-7"/>
        </w:rPr>
        <w:t> </w:t>
      </w:r>
      <w:r>
        <w:rPr/>
        <w:t>Multiple</w:t>
      </w:r>
      <w:r>
        <w:rPr>
          <w:spacing w:val="-8"/>
        </w:rPr>
        <w:t> </w:t>
      </w:r>
      <w:r>
        <w:rPr/>
        <w:t>Alternative</w:t>
      </w:r>
      <w:r>
        <w:rPr>
          <w:spacing w:val="-7"/>
        </w:rPr>
        <w:t> </w:t>
      </w:r>
      <w:r>
        <w:rPr/>
        <w:t>Entity</w:t>
      </w:r>
      <w:r>
        <w:rPr>
          <w:spacing w:val="-7"/>
        </w:rPr>
        <w:t> </w:t>
      </w:r>
      <w:r>
        <w:rPr>
          <w:spacing w:val="-2"/>
        </w:rPr>
        <w:t>Statutes</w:t>
      </w:r>
    </w:p>
    <w:p>
      <w:pPr>
        <w:pStyle w:val="BodyText"/>
        <w:spacing w:before="97"/>
        <w:rPr>
          <w:b/>
        </w:rPr>
      </w:pPr>
    </w:p>
    <w:p>
      <w:pPr>
        <w:pStyle w:val="BodyText"/>
        <w:spacing w:line="326" w:lineRule="auto"/>
        <w:ind w:left="120" w:right="205"/>
      </w:pPr>
      <w:r>
        <w:rPr/>
        <w:t>The amendments common to the DRUPA, the DRULPA, and the DLLCA address amendments that may be made to certificates in connection with a merger. The amendments common to the DRULPA and the DLLCA clarify language regarding revocation of termination of a protected series, revocation of dissolution of a registered</w:t>
      </w:r>
      <w:r>
        <w:rPr>
          <w:spacing w:val="-2"/>
        </w:rPr>
        <w:t> </w:t>
      </w:r>
      <w:r>
        <w:rPr/>
        <w:t>series,</w:t>
      </w:r>
      <w:r>
        <w:rPr>
          <w:spacing w:val="-3"/>
        </w:rPr>
        <w:t> </w:t>
      </w:r>
      <w:r>
        <w:rPr/>
        <w:t>revocation</w:t>
      </w:r>
      <w:r>
        <w:rPr>
          <w:spacing w:val="-2"/>
        </w:rPr>
        <w:t> </w:t>
      </w:r>
      <w:r>
        <w:rPr/>
        <w:t>of</w:t>
      </w:r>
      <w:r>
        <w:rPr>
          <w:spacing w:val="-4"/>
        </w:rPr>
        <w:t> </w:t>
      </w:r>
      <w:r>
        <w:rPr/>
        <w:t>dissolution</w:t>
      </w:r>
      <w:r>
        <w:rPr>
          <w:spacing w:val="-2"/>
        </w:rPr>
        <w:t> </w:t>
      </w:r>
      <w:r>
        <w:rPr/>
        <w:t>of</w:t>
      </w:r>
      <w:r>
        <w:rPr>
          <w:spacing w:val="-1"/>
        </w:rPr>
        <w:t> </w:t>
      </w:r>
      <w:r>
        <w:rPr/>
        <w:t>a</w:t>
      </w:r>
      <w:r>
        <w:rPr>
          <w:spacing w:val="-4"/>
        </w:rPr>
        <w:t> </w:t>
      </w:r>
      <w:r>
        <w:rPr/>
        <w:t>limited</w:t>
      </w:r>
      <w:r>
        <w:rPr>
          <w:spacing w:val="-4"/>
        </w:rPr>
        <w:t> </w:t>
      </w:r>
      <w:r>
        <w:rPr/>
        <w:t>partnership</w:t>
      </w:r>
      <w:r>
        <w:rPr>
          <w:spacing w:val="-4"/>
        </w:rPr>
        <w:t> </w:t>
      </w:r>
      <w:r>
        <w:rPr/>
        <w:t>and</w:t>
      </w:r>
      <w:r>
        <w:rPr>
          <w:spacing w:val="-2"/>
        </w:rPr>
        <w:t> </w:t>
      </w:r>
      <w:r>
        <w:rPr/>
        <w:t>revocation</w:t>
      </w:r>
      <w:r>
        <w:rPr>
          <w:spacing w:val="-4"/>
        </w:rPr>
        <w:t> </w:t>
      </w:r>
      <w:r>
        <w:rPr/>
        <w:t>of</w:t>
      </w:r>
      <w:r>
        <w:rPr>
          <w:spacing w:val="-4"/>
        </w:rPr>
        <w:t> </w:t>
      </w:r>
      <w:r>
        <w:rPr/>
        <w:t>dissolution</w:t>
      </w:r>
      <w:r>
        <w:rPr>
          <w:spacing w:val="-4"/>
        </w:rPr>
        <w:t> </w:t>
      </w:r>
      <w:r>
        <w:rPr/>
        <w:t>of</w:t>
      </w:r>
      <w:r>
        <w:rPr>
          <w:spacing w:val="-1"/>
        </w:rPr>
        <w:t> </w:t>
      </w:r>
      <w:r>
        <w:rPr/>
        <w:t>a</w:t>
      </w:r>
      <w:r>
        <w:rPr>
          <w:spacing w:val="-2"/>
        </w:rPr>
        <w:t> </w:t>
      </w:r>
      <w:r>
        <w:rPr/>
        <w:t>limited liability company.</w:t>
      </w:r>
    </w:p>
    <w:p>
      <w:pPr>
        <w:pStyle w:val="Heading2"/>
        <w:spacing w:before="285"/>
        <w:rPr>
          <w:i/>
        </w:rPr>
      </w:pPr>
      <w:r>
        <w:rPr>
          <w:i/>
        </w:rPr>
        <w:t>Amendments</w:t>
      </w:r>
      <w:r>
        <w:rPr>
          <w:i/>
          <w:spacing w:val="-7"/>
        </w:rPr>
        <w:t> </w:t>
      </w:r>
      <w:r>
        <w:rPr>
          <w:i/>
        </w:rPr>
        <w:t>in</w:t>
      </w:r>
      <w:r>
        <w:rPr>
          <w:i/>
          <w:spacing w:val="-9"/>
        </w:rPr>
        <w:t> </w:t>
      </w:r>
      <w:r>
        <w:rPr>
          <w:i/>
        </w:rPr>
        <w:t>connection</w:t>
      </w:r>
      <w:r>
        <w:rPr>
          <w:i/>
          <w:spacing w:val="-7"/>
        </w:rPr>
        <w:t> </w:t>
      </w:r>
      <w:r>
        <w:rPr>
          <w:i/>
        </w:rPr>
        <w:t>with</w:t>
      </w:r>
      <w:r>
        <w:rPr>
          <w:i/>
          <w:spacing w:val="-7"/>
        </w:rPr>
        <w:t> </w:t>
      </w:r>
      <w:r>
        <w:rPr>
          <w:i/>
          <w:spacing w:val="-2"/>
        </w:rPr>
        <w:t>Mergers</w:t>
      </w:r>
    </w:p>
    <w:p>
      <w:pPr>
        <w:pStyle w:val="BodyText"/>
        <w:spacing w:before="98"/>
        <w:rPr>
          <w:b/>
          <w:i/>
        </w:rPr>
      </w:pPr>
    </w:p>
    <w:p>
      <w:pPr>
        <w:pStyle w:val="BodyText"/>
        <w:spacing w:line="326" w:lineRule="auto"/>
        <w:ind w:left="120" w:right="205"/>
      </w:pPr>
      <w:r>
        <w:rPr/>
        <w:t>The amendments amend Sections </w:t>
      </w:r>
      <w:hyperlink r:id="rId25">
        <w:r>
          <w:rPr>
            <w:b/>
            <w:color w:val="0562C1"/>
            <w:u w:val="single" w:color="0562C1"/>
          </w:rPr>
          <w:t>15-902</w:t>
        </w:r>
        <w:r>
          <w:rPr>
            <w:u w:val="none"/>
          </w:rPr>
          <w:t>,</w:t>
        </w:r>
      </w:hyperlink>
      <w:r>
        <w:rPr>
          <w:u w:val="none"/>
        </w:rPr>
        <w:t> </w:t>
      </w:r>
      <w:hyperlink r:id="rId26">
        <w:r>
          <w:rPr>
            <w:b/>
            <w:color w:val="0562C1"/>
            <w:u w:val="single" w:color="0562C1"/>
          </w:rPr>
          <w:t>17-211</w:t>
        </w:r>
      </w:hyperlink>
      <w:r>
        <w:rPr>
          <w:b/>
          <w:color w:val="0562C1"/>
          <w:u w:val="none"/>
        </w:rPr>
        <w:t> </w:t>
      </w:r>
      <w:r>
        <w:rPr>
          <w:u w:val="none"/>
        </w:rPr>
        <w:t>and </w:t>
      </w:r>
      <w:hyperlink r:id="rId27">
        <w:r>
          <w:rPr>
            <w:b/>
            <w:color w:val="0562C1"/>
            <w:u w:val="single" w:color="0562C1"/>
          </w:rPr>
          <w:t>18-209</w:t>
        </w:r>
      </w:hyperlink>
      <w:r>
        <w:rPr>
          <w:b/>
          <w:color w:val="0562C1"/>
          <w:u w:val="none"/>
        </w:rPr>
        <w:t> </w:t>
      </w:r>
      <w:r>
        <w:rPr>
          <w:u w:val="none"/>
        </w:rPr>
        <w:t>of the DRUPA, the DRULPA, and the DLLCA, respectively, to permit a certificate of merger or a certificate of ownership and merger to state any amendments</w:t>
      </w:r>
      <w:r>
        <w:rPr>
          <w:spacing w:val="-2"/>
          <w:u w:val="none"/>
        </w:rPr>
        <w:t> </w:t>
      </w:r>
      <w:r>
        <w:rPr>
          <w:u w:val="none"/>
        </w:rPr>
        <w:t>to</w:t>
      </w:r>
      <w:r>
        <w:rPr>
          <w:spacing w:val="-5"/>
          <w:u w:val="none"/>
        </w:rPr>
        <w:t> </w:t>
      </w:r>
      <w:r>
        <w:rPr>
          <w:u w:val="none"/>
        </w:rPr>
        <w:t>the</w:t>
      </w:r>
      <w:r>
        <w:rPr>
          <w:spacing w:val="-3"/>
          <w:u w:val="none"/>
        </w:rPr>
        <w:t> </w:t>
      </w:r>
      <w:r>
        <w:rPr>
          <w:u w:val="none"/>
        </w:rPr>
        <w:t>statement</w:t>
      </w:r>
      <w:r>
        <w:rPr>
          <w:spacing w:val="-2"/>
          <w:u w:val="none"/>
        </w:rPr>
        <w:t> </w:t>
      </w:r>
      <w:r>
        <w:rPr>
          <w:u w:val="none"/>
        </w:rPr>
        <w:t>of</w:t>
      </w:r>
      <w:r>
        <w:rPr>
          <w:spacing w:val="-1"/>
          <w:u w:val="none"/>
        </w:rPr>
        <w:t> </w:t>
      </w:r>
      <w:r>
        <w:rPr>
          <w:u w:val="none"/>
        </w:rPr>
        <w:t>partnership</w:t>
      </w:r>
      <w:r>
        <w:rPr>
          <w:spacing w:val="-2"/>
          <w:u w:val="none"/>
        </w:rPr>
        <w:t> </w:t>
      </w:r>
      <w:r>
        <w:rPr>
          <w:u w:val="none"/>
        </w:rPr>
        <w:t>existence</w:t>
      </w:r>
      <w:r>
        <w:rPr>
          <w:spacing w:val="-3"/>
          <w:u w:val="none"/>
        </w:rPr>
        <w:t> </w:t>
      </w:r>
      <w:r>
        <w:rPr>
          <w:u w:val="none"/>
        </w:rPr>
        <w:t>of</w:t>
      </w:r>
      <w:r>
        <w:rPr>
          <w:spacing w:val="-1"/>
          <w:u w:val="none"/>
        </w:rPr>
        <w:t> </w:t>
      </w:r>
      <w:r>
        <w:rPr>
          <w:u w:val="none"/>
        </w:rPr>
        <w:t>a</w:t>
      </w:r>
      <w:r>
        <w:rPr>
          <w:spacing w:val="-4"/>
          <w:u w:val="none"/>
        </w:rPr>
        <w:t> </w:t>
      </w:r>
      <w:r>
        <w:rPr>
          <w:u w:val="none"/>
        </w:rPr>
        <w:t>surviving</w:t>
      </w:r>
      <w:r>
        <w:rPr>
          <w:spacing w:val="-2"/>
          <w:u w:val="none"/>
        </w:rPr>
        <w:t> </w:t>
      </w:r>
      <w:r>
        <w:rPr>
          <w:u w:val="none"/>
        </w:rPr>
        <w:t>domestic</w:t>
      </w:r>
      <w:r>
        <w:rPr>
          <w:spacing w:val="-4"/>
          <w:u w:val="none"/>
        </w:rPr>
        <w:t> </w:t>
      </w:r>
      <w:r>
        <w:rPr>
          <w:u w:val="none"/>
        </w:rPr>
        <w:t>partnership,</w:t>
      </w:r>
      <w:r>
        <w:rPr>
          <w:spacing w:val="-3"/>
          <w:u w:val="none"/>
        </w:rPr>
        <w:t> </w:t>
      </w:r>
      <w:r>
        <w:rPr>
          <w:u w:val="none"/>
        </w:rPr>
        <w:t>the</w:t>
      </w:r>
      <w:r>
        <w:rPr>
          <w:spacing w:val="-3"/>
          <w:u w:val="none"/>
        </w:rPr>
        <w:t> </w:t>
      </w:r>
      <w:r>
        <w:rPr>
          <w:u w:val="none"/>
        </w:rPr>
        <w:t>statement</w:t>
      </w:r>
      <w:r>
        <w:rPr>
          <w:spacing w:val="-4"/>
          <w:u w:val="none"/>
        </w:rPr>
        <w:t> </w:t>
      </w:r>
      <w:r>
        <w:rPr>
          <w:u w:val="none"/>
        </w:rPr>
        <w:t>of qualification of a surviving domestic limited liability partnership, the certificate of limited partnership of a surviving domestic limited partnership, the statement of qualification of a surviving domestic limited liability limited partnership or the certificate of formation of a surviving domestic limited liability company, as applicable, in the merger as are desired to be effected by the merger.</w:t>
      </w:r>
    </w:p>
    <w:p>
      <w:pPr>
        <w:pStyle w:val="BodyText"/>
        <w:spacing w:before="1"/>
      </w:pPr>
    </w:p>
    <w:p>
      <w:pPr>
        <w:pStyle w:val="BodyText"/>
        <w:spacing w:line="328" w:lineRule="auto"/>
        <w:ind w:left="120" w:right="205"/>
      </w:pPr>
      <w:r>
        <w:rPr/>
        <w:t>The amendments also amend Sections </w:t>
      </w:r>
      <w:hyperlink r:id="rId28">
        <w:r>
          <w:rPr>
            <w:b/>
            <w:color w:val="0562C1"/>
            <w:u w:val="single" w:color="0562C1"/>
          </w:rPr>
          <w:t>17-224</w:t>
        </w:r>
      </w:hyperlink>
      <w:r>
        <w:rPr>
          <w:b/>
          <w:color w:val="0562C1"/>
          <w:u w:val="none"/>
        </w:rPr>
        <w:t> </w:t>
      </w:r>
      <w:r>
        <w:rPr>
          <w:u w:val="none"/>
        </w:rPr>
        <w:t>and </w:t>
      </w:r>
      <w:hyperlink r:id="rId29">
        <w:r>
          <w:rPr>
            <w:b/>
            <w:color w:val="0562C1"/>
            <w:u w:val="single" w:color="0562C1"/>
          </w:rPr>
          <w:t>18-221</w:t>
        </w:r>
      </w:hyperlink>
      <w:r>
        <w:rPr>
          <w:b/>
          <w:color w:val="0562C1"/>
          <w:u w:val="none"/>
        </w:rPr>
        <w:t> </w:t>
      </w:r>
      <w:r>
        <w:rPr>
          <w:u w:val="none"/>
        </w:rPr>
        <w:t>of the DRULPA and the DLLCA, respectively, to permit</w:t>
      </w:r>
      <w:r>
        <w:rPr>
          <w:spacing w:val="-4"/>
          <w:u w:val="none"/>
        </w:rPr>
        <w:t> </w:t>
      </w:r>
      <w:r>
        <w:rPr>
          <w:u w:val="none"/>
        </w:rPr>
        <w:t>a</w:t>
      </w:r>
      <w:r>
        <w:rPr>
          <w:spacing w:val="-2"/>
          <w:u w:val="none"/>
        </w:rPr>
        <w:t> </w:t>
      </w:r>
      <w:r>
        <w:rPr>
          <w:u w:val="none"/>
        </w:rPr>
        <w:t>certificate</w:t>
      </w:r>
      <w:r>
        <w:rPr>
          <w:spacing w:val="-3"/>
          <w:u w:val="none"/>
        </w:rPr>
        <w:t> </w:t>
      </w:r>
      <w:r>
        <w:rPr>
          <w:u w:val="none"/>
        </w:rPr>
        <w:t>of</w:t>
      </w:r>
      <w:r>
        <w:rPr>
          <w:spacing w:val="-4"/>
          <w:u w:val="none"/>
        </w:rPr>
        <w:t> </w:t>
      </w:r>
      <w:r>
        <w:rPr>
          <w:u w:val="none"/>
        </w:rPr>
        <w:t>merger</w:t>
      </w:r>
      <w:r>
        <w:rPr>
          <w:spacing w:val="-2"/>
          <w:u w:val="none"/>
        </w:rPr>
        <w:t> </w:t>
      </w:r>
      <w:r>
        <w:rPr>
          <w:u w:val="none"/>
        </w:rPr>
        <w:t>of</w:t>
      </w:r>
      <w:r>
        <w:rPr>
          <w:spacing w:val="-4"/>
          <w:u w:val="none"/>
        </w:rPr>
        <w:t> </w:t>
      </w:r>
      <w:r>
        <w:rPr>
          <w:u w:val="none"/>
        </w:rPr>
        <w:t>a</w:t>
      </w:r>
      <w:r>
        <w:rPr>
          <w:spacing w:val="-2"/>
          <w:u w:val="none"/>
        </w:rPr>
        <w:t> </w:t>
      </w:r>
      <w:r>
        <w:rPr>
          <w:u w:val="none"/>
        </w:rPr>
        <w:t>registered</w:t>
      </w:r>
      <w:r>
        <w:rPr>
          <w:spacing w:val="-4"/>
          <w:u w:val="none"/>
        </w:rPr>
        <w:t> </w:t>
      </w:r>
      <w:r>
        <w:rPr>
          <w:u w:val="none"/>
        </w:rPr>
        <w:t>series</w:t>
      </w:r>
      <w:r>
        <w:rPr>
          <w:spacing w:val="-2"/>
          <w:u w:val="none"/>
        </w:rPr>
        <w:t> </w:t>
      </w:r>
      <w:r>
        <w:rPr>
          <w:u w:val="none"/>
        </w:rPr>
        <w:t>to</w:t>
      </w:r>
      <w:r>
        <w:rPr>
          <w:spacing w:val="-2"/>
          <w:u w:val="none"/>
        </w:rPr>
        <w:t> </w:t>
      </w:r>
      <w:r>
        <w:rPr>
          <w:u w:val="none"/>
        </w:rPr>
        <w:t>state</w:t>
      </w:r>
      <w:r>
        <w:rPr>
          <w:spacing w:val="-3"/>
          <w:u w:val="none"/>
        </w:rPr>
        <w:t> </w:t>
      </w:r>
      <w:r>
        <w:rPr>
          <w:u w:val="none"/>
        </w:rPr>
        <w:t>amendments</w:t>
      </w:r>
      <w:r>
        <w:rPr>
          <w:spacing w:val="-4"/>
          <w:u w:val="none"/>
        </w:rPr>
        <w:t> </w:t>
      </w:r>
      <w:r>
        <w:rPr>
          <w:u w:val="none"/>
        </w:rPr>
        <w:t>to</w:t>
      </w:r>
      <w:r>
        <w:rPr>
          <w:spacing w:val="-2"/>
          <w:u w:val="none"/>
        </w:rPr>
        <w:t> </w:t>
      </w:r>
      <w:r>
        <w:rPr>
          <w:u w:val="none"/>
        </w:rPr>
        <w:t>the</w:t>
      </w:r>
      <w:r>
        <w:rPr>
          <w:spacing w:val="-3"/>
          <w:u w:val="none"/>
        </w:rPr>
        <w:t> </w:t>
      </w:r>
      <w:r>
        <w:rPr>
          <w:u w:val="none"/>
        </w:rPr>
        <w:t>certificate</w:t>
      </w:r>
      <w:r>
        <w:rPr>
          <w:spacing w:val="-3"/>
          <w:u w:val="none"/>
        </w:rPr>
        <w:t> </w:t>
      </w:r>
      <w:r>
        <w:rPr>
          <w:u w:val="none"/>
        </w:rPr>
        <w:t>of</w:t>
      </w:r>
      <w:r>
        <w:rPr>
          <w:spacing w:val="-4"/>
          <w:u w:val="none"/>
        </w:rPr>
        <w:t> </w:t>
      </w:r>
      <w:r>
        <w:rPr>
          <w:u w:val="none"/>
        </w:rPr>
        <w:t>registered</w:t>
      </w:r>
      <w:r>
        <w:rPr>
          <w:spacing w:val="-2"/>
          <w:u w:val="none"/>
        </w:rPr>
        <w:t> </w:t>
      </w:r>
      <w:r>
        <w:rPr>
          <w:u w:val="none"/>
        </w:rPr>
        <w:t>series of a surviving registered series in the merger as are desired to be effected by the merger.</w:t>
      </w:r>
    </w:p>
    <w:p>
      <w:pPr>
        <w:pStyle w:val="Heading2"/>
        <w:spacing w:before="277"/>
        <w:rPr>
          <w:i/>
        </w:rPr>
      </w:pPr>
      <w:r>
        <w:rPr>
          <w:i/>
        </w:rPr>
        <w:t>Revocation</w:t>
      </w:r>
      <w:r>
        <w:rPr>
          <w:i/>
          <w:spacing w:val="-10"/>
        </w:rPr>
        <w:t> </w:t>
      </w:r>
      <w:r>
        <w:rPr>
          <w:i/>
        </w:rPr>
        <w:t>of</w:t>
      </w:r>
      <w:r>
        <w:rPr>
          <w:i/>
          <w:spacing w:val="-8"/>
        </w:rPr>
        <w:t> </w:t>
      </w:r>
      <w:r>
        <w:rPr>
          <w:i/>
        </w:rPr>
        <w:t>Terminations</w:t>
      </w:r>
      <w:r>
        <w:rPr>
          <w:i/>
          <w:spacing w:val="-5"/>
        </w:rPr>
        <w:t> </w:t>
      </w:r>
      <w:r>
        <w:rPr>
          <w:i/>
        </w:rPr>
        <w:t>and</w:t>
      </w:r>
      <w:r>
        <w:rPr>
          <w:i/>
          <w:spacing w:val="-9"/>
        </w:rPr>
        <w:t> </w:t>
      </w:r>
      <w:r>
        <w:rPr>
          <w:i/>
          <w:spacing w:val="-2"/>
        </w:rPr>
        <w:t>Dissolutions</w:t>
      </w:r>
    </w:p>
    <w:p>
      <w:pPr>
        <w:pStyle w:val="BodyText"/>
        <w:spacing w:before="95"/>
        <w:rPr>
          <w:b/>
          <w:i/>
        </w:rPr>
      </w:pPr>
    </w:p>
    <w:p>
      <w:pPr>
        <w:spacing w:line="328" w:lineRule="auto" w:before="0"/>
        <w:ind w:left="120" w:right="0" w:firstLine="0"/>
        <w:jc w:val="left"/>
        <w:rPr>
          <w:sz w:val="21"/>
        </w:rPr>
      </w:pPr>
      <w:r>
        <w:rPr>
          <w:sz w:val="21"/>
        </w:rPr>
        <w:t>The</w:t>
      </w:r>
      <w:r>
        <w:rPr>
          <w:spacing w:val="-4"/>
          <w:sz w:val="21"/>
        </w:rPr>
        <w:t> </w:t>
      </w:r>
      <w:r>
        <w:rPr>
          <w:sz w:val="21"/>
        </w:rPr>
        <w:t>amendments</w:t>
      </w:r>
      <w:r>
        <w:rPr>
          <w:spacing w:val="-3"/>
          <w:sz w:val="21"/>
        </w:rPr>
        <w:t> </w:t>
      </w:r>
      <w:r>
        <w:rPr>
          <w:sz w:val="21"/>
        </w:rPr>
        <w:t>amend</w:t>
      </w:r>
      <w:r>
        <w:rPr>
          <w:spacing w:val="-3"/>
          <w:sz w:val="21"/>
        </w:rPr>
        <w:t> </w:t>
      </w:r>
      <w:r>
        <w:rPr>
          <w:sz w:val="21"/>
        </w:rPr>
        <w:t>Sections</w:t>
      </w:r>
      <w:r>
        <w:rPr>
          <w:spacing w:val="-3"/>
          <w:sz w:val="21"/>
        </w:rPr>
        <w:t> </w:t>
      </w:r>
      <w:hyperlink r:id="rId30">
        <w:r>
          <w:rPr>
            <w:b/>
            <w:color w:val="0562C1"/>
            <w:sz w:val="21"/>
            <w:u w:val="single" w:color="0562C1"/>
          </w:rPr>
          <w:t>17-218(d)</w:t>
        </w:r>
        <w:r>
          <w:rPr>
            <w:sz w:val="21"/>
            <w:u w:val="none"/>
          </w:rPr>
          <w:t>,</w:t>
        </w:r>
      </w:hyperlink>
      <w:r>
        <w:rPr>
          <w:spacing w:val="-2"/>
          <w:sz w:val="21"/>
          <w:u w:val="none"/>
        </w:rPr>
        <w:t> </w:t>
      </w:r>
      <w:hyperlink r:id="rId31">
        <w:r>
          <w:rPr>
            <w:b/>
            <w:color w:val="0562C1"/>
            <w:sz w:val="21"/>
            <w:u w:val="single" w:color="0562C1"/>
          </w:rPr>
          <w:t>17-221(f)</w:t>
        </w:r>
        <w:r>
          <w:rPr>
            <w:sz w:val="21"/>
            <w:u w:val="none"/>
          </w:rPr>
          <w:t>,</w:t>
        </w:r>
      </w:hyperlink>
      <w:r>
        <w:rPr>
          <w:spacing w:val="-2"/>
          <w:sz w:val="21"/>
          <w:u w:val="none"/>
        </w:rPr>
        <w:t> </w:t>
      </w:r>
      <w:hyperlink r:id="rId32">
        <w:r>
          <w:rPr>
            <w:b/>
            <w:color w:val="0562C1"/>
            <w:sz w:val="21"/>
            <w:u w:val="single" w:color="0562C1"/>
          </w:rPr>
          <w:t>17-806</w:t>
        </w:r>
        <w:r>
          <w:rPr>
            <w:sz w:val="21"/>
            <w:u w:val="none"/>
          </w:rPr>
          <w:t>,</w:t>
        </w:r>
      </w:hyperlink>
      <w:r>
        <w:rPr>
          <w:spacing w:val="-4"/>
          <w:sz w:val="21"/>
          <w:u w:val="none"/>
        </w:rPr>
        <w:t> </w:t>
      </w:r>
      <w:hyperlink r:id="rId33">
        <w:r>
          <w:rPr>
            <w:b/>
            <w:color w:val="0562C1"/>
            <w:sz w:val="21"/>
            <w:u w:val="single" w:color="0562C1"/>
          </w:rPr>
          <w:t>18-215(d)</w:t>
        </w:r>
        <w:r>
          <w:rPr>
            <w:sz w:val="21"/>
            <w:u w:val="none"/>
          </w:rPr>
          <w:t>,</w:t>
        </w:r>
      </w:hyperlink>
      <w:r>
        <w:rPr>
          <w:spacing w:val="-4"/>
          <w:sz w:val="21"/>
          <w:u w:val="none"/>
        </w:rPr>
        <w:t> </w:t>
      </w:r>
      <w:hyperlink r:id="rId34">
        <w:r>
          <w:rPr>
            <w:b/>
            <w:color w:val="0562C1"/>
            <w:sz w:val="21"/>
            <w:u w:val="single" w:color="0562C1"/>
          </w:rPr>
          <w:t>18-218(f)</w:t>
        </w:r>
      </w:hyperlink>
      <w:r>
        <w:rPr>
          <w:b/>
          <w:color w:val="0562C1"/>
          <w:spacing w:val="-5"/>
          <w:sz w:val="21"/>
          <w:u w:val="none"/>
        </w:rPr>
        <w:t> </w:t>
      </w:r>
      <w:r>
        <w:rPr>
          <w:sz w:val="21"/>
          <w:u w:val="none"/>
        </w:rPr>
        <w:t>and</w:t>
      </w:r>
      <w:r>
        <w:rPr>
          <w:spacing w:val="-5"/>
          <w:sz w:val="21"/>
          <w:u w:val="none"/>
        </w:rPr>
        <w:t> </w:t>
      </w:r>
      <w:hyperlink r:id="rId35">
        <w:r>
          <w:rPr>
            <w:b/>
            <w:color w:val="0562C1"/>
            <w:sz w:val="21"/>
            <w:u w:val="single" w:color="0562C1"/>
          </w:rPr>
          <w:t>18-806</w:t>
        </w:r>
      </w:hyperlink>
      <w:r>
        <w:rPr>
          <w:b/>
          <w:color w:val="0562C1"/>
          <w:spacing w:val="-3"/>
          <w:sz w:val="21"/>
          <w:u w:val="none"/>
        </w:rPr>
        <w:t> </w:t>
      </w:r>
      <w:r>
        <w:rPr>
          <w:sz w:val="21"/>
          <w:u w:val="none"/>
        </w:rPr>
        <w:t>of</w:t>
      </w:r>
      <w:r>
        <w:rPr>
          <w:spacing w:val="-5"/>
          <w:sz w:val="21"/>
          <w:u w:val="none"/>
        </w:rPr>
        <w:t> </w:t>
      </w:r>
      <w:r>
        <w:rPr>
          <w:sz w:val="21"/>
          <w:u w:val="none"/>
        </w:rPr>
        <w:t>the</w:t>
      </w:r>
      <w:r>
        <w:rPr>
          <w:spacing w:val="-4"/>
          <w:sz w:val="21"/>
          <w:u w:val="none"/>
        </w:rPr>
        <w:t> </w:t>
      </w:r>
      <w:r>
        <w:rPr>
          <w:sz w:val="21"/>
          <w:u w:val="none"/>
        </w:rPr>
        <w:t>DRULPA and the DLLCA, respectively, to confirm and clarify that the references to “other persons” in each such</w:t>
      </w:r>
    </w:p>
    <w:p>
      <w:pPr>
        <w:pStyle w:val="BodyText"/>
        <w:spacing w:line="328" w:lineRule="auto"/>
        <w:ind w:left="119" w:right="205"/>
      </w:pPr>
      <w:r>
        <w:rPr/>
        <w:t>Section</w:t>
      </w:r>
      <w:r>
        <w:rPr>
          <w:spacing w:val="-2"/>
        </w:rPr>
        <w:t> </w:t>
      </w:r>
      <w:r>
        <w:rPr/>
        <w:t>are</w:t>
      </w:r>
      <w:r>
        <w:rPr>
          <w:spacing w:val="-3"/>
        </w:rPr>
        <w:t> </w:t>
      </w:r>
      <w:r>
        <w:rPr/>
        <w:t>references</w:t>
      </w:r>
      <w:r>
        <w:rPr>
          <w:spacing w:val="-2"/>
        </w:rPr>
        <w:t> </w:t>
      </w:r>
      <w:r>
        <w:rPr/>
        <w:t>to</w:t>
      </w:r>
      <w:r>
        <w:rPr>
          <w:spacing w:val="-5"/>
        </w:rPr>
        <w:t> </w:t>
      </w:r>
      <w:r>
        <w:rPr/>
        <w:t>other</w:t>
      </w:r>
      <w:r>
        <w:rPr>
          <w:spacing w:val="-4"/>
        </w:rPr>
        <w:t> </w:t>
      </w:r>
      <w:r>
        <w:rPr/>
        <w:t>persons</w:t>
      </w:r>
      <w:r>
        <w:rPr>
          <w:spacing w:val="-2"/>
        </w:rPr>
        <w:t> </w:t>
      </w:r>
      <w:r>
        <w:rPr/>
        <w:t>whose</w:t>
      </w:r>
      <w:r>
        <w:rPr>
          <w:spacing w:val="-3"/>
        </w:rPr>
        <w:t> </w:t>
      </w:r>
      <w:r>
        <w:rPr/>
        <w:t>approval</w:t>
      </w:r>
      <w:r>
        <w:rPr>
          <w:spacing w:val="-2"/>
        </w:rPr>
        <w:t> </w:t>
      </w:r>
      <w:r>
        <w:rPr/>
        <w:t>is</w:t>
      </w:r>
      <w:r>
        <w:rPr>
          <w:spacing w:val="-2"/>
        </w:rPr>
        <w:t> </w:t>
      </w:r>
      <w:r>
        <w:rPr/>
        <w:t>required</w:t>
      </w:r>
      <w:r>
        <w:rPr>
          <w:spacing w:val="-4"/>
        </w:rPr>
        <w:t> </w:t>
      </w:r>
      <w:r>
        <w:rPr/>
        <w:t>for</w:t>
      </w:r>
      <w:r>
        <w:rPr>
          <w:spacing w:val="-4"/>
        </w:rPr>
        <w:t> </w:t>
      </w:r>
      <w:r>
        <w:rPr/>
        <w:t>the</w:t>
      </w:r>
      <w:r>
        <w:rPr>
          <w:spacing w:val="-5"/>
        </w:rPr>
        <w:t> </w:t>
      </w:r>
      <w:r>
        <w:rPr/>
        <w:t>termination</w:t>
      </w:r>
      <w:r>
        <w:rPr>
          <w:spacing w:val="-2"/>
        </w:rPr>
        <w:t> </w:t>
      </w:r>
      <w:r>
        <w:rPr/>
        <w:t>of</w:t>
      </w:r>
      <w:r>
        <w:rPr>
          <w:spacing w:val="-1"/>
        </w:rPr>
        <w:t> </w:t>
      </w:r>
      <w:r>
        <w:rPr/>
        <w:t>the</w:t>
      </w:r>
      <w:r>
        <w:rPr>
          <w:spacing w:val="-5"/>
        </w:rPr>
        <w:t> </w:t>
      </w:r>
      <w:r>
        <w:rPr/>
        <w:t>protected</w:t>
      </w:r>
      <w:r>
        <w:rPr>
          <w:spacing w:val="-2"/>
        </w:rPr>
        <w:t> </w:t>
      </w:r>
      <w:r>
        <w:rPr/>
        <w:t>series or the dissolution of the limited partnership, limited liability company or registered series, as applicable, pursuant to the partnership agreement or limited liability company agreement, as applicable.</w:t>
      </w:r>
    </w:p>
    <w:p>
      <w:pPr>
        <w:spacing w:after="0" w:line="328" w:lineRule="auto"/>
        <w:sectPr>
          <w:pgSz w:w="12240" w:h="15840"/>
          <w:pgMar w:header="0" w:footer="272" w:top="740" w:bottom="460" w:left="600" w:right="520"/>
        </w:sectPr>
      </w:pPr>
    </w:p>
    <w:p>
      <w:pPr>
        <w:pStyle w:val="Heading1"/>
        <w:spacing w:before="84"/>
      </w:pPr>
      <w:r>
        <w:rPr/>
        <w:t>Amendments</w:t>
      </w:r>
      <w:r>
        <w:rPr>
          <w:spacing w:val="-8"/>
        </w:rPr>
        <w:t> </w:t>
      </w:r>
      <w:r>
        <w:rPr/>
        <w:t>specific</w:t>
      </w:r>
      <w:r>
        <w:rPr>
          <w:spacing w:val="-5"/>
        </w:rPr>
        <w:t> </w:t>
      </w:r>
      <w:r>
        <w:rPr/>
        <w:t>to</w:t>
      </w:r>
      <w:r>
        <w:rPr>
          <w:spacing w:val="-5"/>
        </w:rPr>
        <w:t> </w:t>
      </w:r>
      <w:r>
        <w:rPr/>
        <w:t>the</w:t>
      </w:r>
      <w:r>
        <w:rPr>
          <w:spacing w:val="-5"/>
        </w:rPr>
        <w:t> </w:t>
      </w:r>
      <w:r>
        <w:rPr>
          <w:spacing w:val="-2"/>
        </w:rPr>
        <w:t>DRULPA</w:t>
      </w:r>
    </w:p>
    <w:p>
      <w:pPr>
        <w:pStyle w:val="BodyText"/>
        <w:spacing w:before="97"/>
        <w:rPr>
          <w:b/>
        </w:rPr>
      </w:pPr>
    </w:p>
    <w:p>
      <w:pPr>
        <w:pStyle w:val="Heading2"/>
        <w:spacing w:before="1"/>
        <w:rPr>
          <w:i/>
        </w:rPr>
      </w:pPr>
      <w:r>
        <w:rPr>
          <w:i/>
        </w:rPr>
        <w:t>Execution</w:t>
      </w:r>
      <w:r>
        <w:rPr>
          <w:i/>
          <w:spacing w:val="-9"/>
        </w:rPr>
        <w:t> </w:t>
      </w:r>
      <w:r>
        <w:rPr>
          <w:i/>
        </w:rPr>
        <w:t>of</w:t>
      </w:r>
      <w:r>
        <w:rPr>
          <w:i/>
          <w:spacing w:val="-7"/>
        </w:rPr>
        <w:t> </w:t>
      </w:r>
      <w:r>
        <w:rPr>
          <w:i/>
        </w:rPr>
        <w:t>Certificates</w:t>
      </w:r>
      <w:r>
        <w:rPr>
          <w:i/>
          <w:spacing w:val="-6"/>
        </w:rPr>
        <w:t> </w:t>
      </w:r>
      <w:r>
        <w:rPr>
          <w:i/>
        </w:rPr>
        <w:t>under</w:t>
      </w:r>
      <w:r>
        <w:rPr>
          <w:i/>
          <w:spacing w:val="-7"/>
        </w:rPr>
        <w:t> </w:t>
      </w:r>
      <w:r>
        <w:rPr>
          <w:i/>
          <w:spacing w:val="-2"/>
        </w:rPr>
        <w:t>DRULPA</w:t>
      </w:r>
    </w:p>
    <w:p>
      <w:pPr>
        <w:pStyle w:val="BodyText"/>
        <w:spacing w:before="97"/>
        <w:rPr>
          <w:b/>
          <w:i/>
        </w:rPr>
      </w:pPr>
    </w:p>
    <w:p>
      <w:pPr>
        <w:pStyle w:val="BodyText"/>
        <w:spacing w:line="326" w:lineRule="auto"/>
        <w:ind w:left="119" w:right="205"/>
      </w:pPr>
      <w:r>
        <w:rPr/>
        <w:t>Because of the above-mentioned amendments that (i) permit a certificate of merger or a certificate of ownership and merger to amend the certificate of limited partnership of a surviving domestic limited partnership in a merger to reflect the admission of one or more new general partners of the surviving domestic limited partnership in connection with the merger, and (ii) permit a certificate of merger of a registered series to amend the certificate of registered series of a surviving registered series in a merger to reflect the</w:t>
      </w:r>
      <w:r>
        <w:rPr>
          <w:spacing w:val="-1"/>
        </w:rPr>
        <w:t> </w:t>
      </w:r>
      <w:r>
        <w:rPr/>
        <w:t>association of</w:t>
      </w:r>
      <w:r>
        <w:rPr>
          <w:spacing w:val="-2"/>
        </w:rPr>
        <w:t> </w:t>
      </w:r>
      <w:r>
        <w:rPr/>
        <w:t>one or more</w:t>
      </w:r>
      <w:r>
        <w:rPr>
          <w:spacing w:val="-1"/>
        </w:rPr>
        <w:t> </w:t>
      </w:r>
      <w:r>
        <w:rPr/>
        <w:t>new general partners with the</w:t>
      </w:r>
      <w:r>
        <w:rPr>
          <w:spacing w:val="-1"/>
        </w:rPr>
        <w:t> </w:t>
      </w:r>
      <w:r>
        <w:rPr/>
        <w:t>surviving registered series in connection with</w:t>
      </w:r>
      <w:r>
        <w:rPr>
          <w:spacing w:val="-1"/>
        </w:rPr>
        <w:t> </w:t>
      </w:r>
      <w:r>
        <w:rPr/>
        <w:t>the</w:t>
      </w:r>
      <w:r>
        <w:rPr>
          <w:spacing w:val="-4"/>
        </w:rPr>
        <w:t> </w:t>
      </w:r>
      <w:r>
        <w:rPr/>
        <w:t>merger, the</w:t>
      </w:r>
      <w:r>
        <w:rPr>
          <w:spacing w:val="-4"/>
        </w:rPr>
        <w:t> </w:t>
      </w:r>
      <w:r>
        <w:rPr/>
        <w:t>amendments</w:t>
      </w:r>
      <w:r>
        <w:rPr>
          <w:spacing w:val="-1"/>
        </w:rPr>
        <w:t> </w:t>
      </w:r>
      <w:r>
        <w:rPr/>
        <w:t>to</w:t>
      </w:r>
      <w:r>
        <w:rPr>
          <w:spacing w:val="-4"/>
        </w:rPr>
        <w:t> </w:t>
      </w:r>
      <w:r>
        <w:rPr/>
        <w:t>the</w:t>
      </w:r>
      <w:r>
        <w:rPr>
          <w:spacing w:val="-2"/>
        </w:rPr>
        <w:t> </w:t>
      </w:r>
      <w:r>
        <w:rPr/>
        <w:t>DRULPA</w:t>
      </w:r>
      <w:r>
        <w:rPr>
          <w:spacing w:val="-3"/>
        </w:rPr>
        <w:t> </w:t>
      </w:r>
      <w:hyperlink r:id="rId36">
        <w:r>
          <w:rPr>
            <w:b/>
            <w:color w:val="0562C1"/>
            <w:u w:val="single" w:color="0562C1"/>
          </w:rPr>
          <w:t>Section 17-204(a)</w:t>
        </w:r>
      </w:hyperlink>
      <w:r>
        <w:rPr>
          <w:b/>
          <w:color w:val="0562C1"/>
          <w:u w:val="none"/>
        </w:rPr>
        <w:t> </w:t>
      </w:r>
      <w:r>
        <w:rPr>
          <w:u w:val="none"/>
        </w:rPr>
        <w:t>require</w:t>
      </w:r>
      <w:r>
        <w:rPr>
          <w:spacing w:val="-2"/>
          <w:u w:val="none"/>
        </w:rPr>
        <w:t> </w:t>
      </w:r>
      <w:r>
        <w:rPr>
          <w:u w:val="none"/>
        </w:rPr>
        <w:t>each</w:t>
      </w:r>
      <w:r>
        <w:rPr>
          <w:spacing w:val="-3"/>
          <w:u w:val="none"/>
        </w:rPr>
        <w:t> </w:t>
      </w:r>
      <w:r>
        <w:rPr>
          <w:u w:val="none"/>
        </w:rPr>
        <w:t>new</w:t>
      </w:r>
      <w:r>
        <w:rPr>
          <w:spacing w:val="-2"/>
          <w:u w:val="none"/>
        </w:rPr>
        <w:t> </w:t>
      </w:r>
      <w:r>
        <w:rPr>
          <w:u w:val="none"/>
        </w:rPr>
        <w:t>general</w:t>
      </w:r>
      <w:r>
        <w:rPr>
          <w:spacing w:val="-1"/>
          <w:u w:val="none"/>
        </w:rPr>
        <w:t> </w:t>
      </w:r>
      <w:r>
        <w:rPr>
          <w:u w:val="none"/>
        </w:rPr>
        <w:t>partner</w:t>
      </w:r>
      <w:r>
        <w:rPr>
          <w:spacing w:val="-3"/>
          <w:u w:val="none"/>
        </w:rPr>
        <w:t> </w:t>
      </w:r>
      <w:r>
        <w:rPr>
          <w:u w:val="none"/>
        </w:rPr>
        <w:t>to</w:t>
      </w:r>
      <w:r>
        <w:rPr>
          <w:spacing w:val="-1"/>
          <w:u w:val="none"/>
        </w:rPr>
        <w:t> </w:t>
      </w:r>
      <w:r>
        <w:rPr>
          <w:u w:val="none"/>
        </w:rPr>
        <w:t>sign the certificate of merger, certificate of ownership and merger or certificate of merger of registered series, as </w:t>
      </w:r>
      <w:r>
        <w:rPr>
          <w:spacing w:val="-2"/>
          <w:u w:val="none"/>
        </w:rPr>
        <w:t>applicable.</w:t>
      </w:r>
    </w:p>
    <w:p>
      <w:pPr>
        <w:pStyle w:val="BodyText"/>
        <w:spacing w:before="6"/>
      </w:pPr>
    </w:p>
    <w:p>
      <w:pPr>
        <w:pStyle w:val="Heading1"/>
      </w:pPr>
      <w:r>
        <w:rPr/>
        <w:t>Amendments</w:t>
      </w:r>
      <w:r>
        <w:rPr>
          <w:spacing w:val="-8"/>
        </w:rPr>
        <w:t> </w:t>
      </w:r>
      <w:r>
        <w:rPr/>
        <w:t>specific</w:t>
      </w:r>
      <w:r>
        <w:rPr>
          <w:spacing w:val="-6"/>
        </w:rPr>
        <w:t> </w:t>
      </w:r>
      <w:r>
        <w:rPr/>
        <w:t>to</w:t>
      </w:r>
      <w:r>
        <w:rPr>
          <w:spacing w:val="-5"/>
        </w:rPr>
        <w:t> </w:t>
      </w:r>
      <w:r>
        <w:rPr/>
        <w:t>the</w:t>
      </w:r>
      <w:r>
        <w:rPr>
          <w:spacing w:val="-5"/>
        </w:rPr>
        <w:t> </w:t>
      </w:r>
      <w:r>
        <w:rPr>
          <w:spacing w:val="-4"/>
        </w:rPr>
        <w:t>DRUPA</w:t>
      </w:r>
    </w:p>
    <w:p>
      <w:pPr>
        <w:pStyle w:val="BodyText"/>
        <w:spacing w:before="97"/>
        <w:rPr>
          <w:b/>
        </w:rPr>
      </w:pPr>
    </w:p>
    <w:p>
      <w:pPr>
        <w:pStyle w:val="Heading2"/>
        <w:rPr>
          <w:i/>
        </w:rPr>
      </w:pPr>
      <w:r>
        <w:rPr>
          <w:i/>
        </w:rPr>
        <w:t>Requirement</w:t>
      </w:r>
      <w:r>
        <w:rPr>
          <w:i/>
          <w:spacing w:val="-7"/>
        </w:rPr>
        <w:t> </w:t>
      </w:r>
      <w:r>
        <w:rPr>
          <w:i/>
        </w:rPr>
        <w:t>to</w:t>
      </w:r>
      <w:r>
        <w:rPr>
          <w:i/>
          <w:spacing w:val="-6"/>
        </w:rPr>
        <w:t> </w:t>
      </w:r>
      <w:r>
        <w:rPr>
          <w:i/>
        </w:rPr>
        <w:t>file</w:t>
      </w:r>
      <w:r>
        <w:rPr>
          <w:i/>
          <w:spacing w:val="-5"/>
        </w:rPr>
        <w:t> </w:t>
      </w:r>
      <w:r>
        <w:rPr>
          <w:i/>
        </w:rPr>
        <w:t>a</w:t>
      </w:r>
      <w:r>
        <w:rPr>
          <w:i/>
          <w:spacing w:val="-7"/>
        </w:rPr>
        <w:t> </w:t>
      </w:r>
      <w:r>
        <w:rPr>
          <w:i/>
        </w:rPr>
        <w:t>Statement</w:t>
      </w:r>
      <w:r>
        <w:rPr>
          <w:i/>
          <w:spacing w:val="-7"/>
        </w:rPr>
        <w:t> </w:t>
      </w:r>
      <w:r>
        <w:rPr>
          <w:i/>
        </w:rPr>
        <w:t>of</w:t>
      </w:r>
      <w:r>
        <w:rPr>
          <w:i/>
          <w:spacing w:val="-6"/>
        </w:rPr>
        <w:t> </w:t>
      </w:r>
      <w:r>
        <w:rPr>
          <w:i/>
        </w:rPr>
        <w:t>Partnership</w:t>
      </w:r>
      <w:r>
        <w:rPr>
          <w:i/>
          <w:spacing w:val="-8"/>
        </w:rPr>
        <w:t> </w:t>
      </w:r>
      <w:r>
        <w:rPr>
          <w:i/>
        </w:rPr>
        <w:t>Existence</w:t>
      </w:r>
      <w:r>
        <w:rPr>
          <w:i/>
          <w:spacing w:val="-6"/>
        </w:rPr>
        <w:t> </w:t>
      </w:r>
      <w:r>
        <w:rPr>
          <w:i/>
        </w:rPr>
        <w:t>in</w:t>
      </w:r>
      <w:r>
        <w:rPr>
          <w:i/>
          <w:spacing w:val="-8"/>
        </w:rPr>
        <w:t> </w:t>
      </w:r>
      <w:r>
        <w:rPr>
          <w:i/>
        </w:rPr>
        <w:t>connection</w:t>
      </w:r>
      <w:r>
        <w:rPr>
          <w:i/>
          <w:spacing w:val="-7"/>
        </w:rPr>
        <w:t> </w:t>
      </w:r>
      <w:r>
        <w:rPr>
          <w:i/>
        </w:rPr>
        <w:t>with</w:t>
      </w:r>
      <w:r>
        <w:rPr>
          <w:i/>
          <w:spacing w:val="-5"/>
        </w:rPr>
        <w:t> </w:t>
      </w:r>
      <w:r>
        <w:rPr>
          <w:i/>
        </w:rPr>
        <w:t>a</w:t>
      </w:r>
      <w:r>
        <w:rPr>
          <w:i/>
          <w:spacing w:val="-5"/>
        </w:rPr>
        <w:t> </w:t>
      </w:r>
      <w:r>
        <w:rPr>
          <w:i/>
          <w:spacing w:val="-2"/>
        </w:rPr>
        <w:t>Merger</w:t>
      </w:r>
    </w:p>
    <w:p>
      <w:pPr>
        <w:pStyle w:val="BodyText"/>
        <w:spacing w:before="95"/>
        <w:rPr>
          <w:b/>
          <w:i/>
        </w:rPr>
      </w:pPr>
    </w:p>
    <w:p>
      <w:pPr>
        <w:pStyle w:val="BodyText"/>
        <w:spacing w:line="328" w:lineRule="auto" w:before="1"/>
        <w:ind w:left="119" w:right="538"/>
        <w:jc w:val="both"/>
      </w:pPr>
      <w:r>
        <w:rPr/>
        <w:t>The</w:t>
      </w:r>
      <w:r>
        <w:rPr>
          <w:spacing w:val="-3"/>
        </w:rPr>
        <w:t> </w:t>
      </w:r>
      <w:r>
        <w:rPr/>
        <w:t>amendments</w:t>
      </w:r>
      <w:r>
        <w:rPr>
          <w:spacing w:val="-2"/>
        </w:rPr>
        <w:t> </w:t>
      </w:r>
      <w:r>
        <w:rPr/>
        <w:t>amend</w:t>
      </w:r>
      <w:r>
        <w:rPr>
          <w:spacing w:val="-2"/>
        </w:rPr>
        <w:t> </w:t>
      </w:r>
      <w:r>
        <w:rPr/>
        <w:t>DRUPA</w:t>
      </w:r>
      <w:r>
        <w:rPr>
          <w:spacing w:val="-1"/>
        </w:rPr>
        <w:t> </w:t>
      </w:r>
      <w:r>
        <w:rPr/>
        <w:t>Section</w:t>
      </w:r>
      <w:r>
        <w:rPr>
          <w:spacing w:val="-2"/>
        </w:rPr>
        <w:t> </w:t>
      </w:r>
      <w:r>
        <w:rPr/>
        <w:t>15-902</w:t>
      </w:r>
      <w:r>
        <w:rPr>
          <w:spacing w:val="-5"/>
        </w:rPr>
        <w:t> </w:t>
      </w:r>
      <w:r>
        <w:rPr/>
        <w:t>to</w:t>
      </w:r>
      <w:r>
        <w:rPr>
          <w:spacing w:val="-2"/>
        </w:rPr>
        <w:t> </w:t>
      </w:r>
      <w:r>
        <w:rPr/>
        <w:t>require</w:t>
      </w:r>
      <w:r>
        <w:rPr>
          <w:spacing w:val="-3"/>
        </w:rPr>
        <w:t> </w:t>
      </w:r>
      <w:r>
        <w:rPr/>
        <w:t>a</w:t>
      </w:r>
      <w:r>
        <w:rPr>
          <w:spacing w:val="-4"/>
        </w:rPr>
        <w:t> </w:t>
      </w:r>
      <w:r>
        <w:rPr/>
        <w:t>domestic</w:t>
      </w:r>
      <w:r>
        <w:rPr>
          <w:spacing w:val="-4"/>
        </w:rPr>
        <w:t> </w:t>
      </w:r>
      <w:r>
        <w:rPr/>
        <w:t>partnership</w:t>
      </w:r>
      <w:r>
        <w:rPr>
          <w:spacing w:val="-2"/>
        </w:rPr>
        <w:t> </w:t>
      </w:r>
      <w:r>
        <w:rPr/>
        <w:t>that</w:t>
      </w:r>
      <w:r>
        <w:rPr>
          <w:spacing w:val="-2"/>
        </w:rPr>
        <w:t> </w:t>
      </w:r>
      <w:r>
        <w:rPr/>
        <w:t>is</w:t>
      </w:r>
      <w:r>
        <w:rPr>
          <w:spacing w:val="-4"/>
        </w:rPr>
        <w:t> </w:t>
      </w:r>
      <w:r>
        <w:rPr/>
        <w:t>causing</w:t>
      </w:r>
      <w:r>
        <w:rPr>
          <w:spacing w:val="-5"/>
        </w:rPr>
        <w:t> </w:t>
      </w:r>
      <w:r>
        <w:rPr/>
        <w:t>a</w:t>
      </w:r>
      <w:r>
        <w:rPr>
          <w:spacing w:val="-2"/>
        </w:rPr>
        <w:t> </w:t>
      </w:r>
      <w:r>
        <w:rPr/>
        <w:t>merger under</w:t>
      </w:r>
      <w:r>
        <w:rPr>
          <w:spacing w:val="-1"/>
        </w:rPr>
        <w:t> </w:t>
      </w:r>
      <w:r>
        <w:rPr/>
        <w:t>DRUPA Section 15-902(m) to</w:t>
      </w:r>
      <w:r>
        <w:rPr>
          <w:spacing w:val="-2"/>
        </w:rPr>
        <w:t> </w:t>
      </w:r>
      <w:r>
        <w:rPr/>
        <w:t>file a statement of</w:t>
      </w:r>
      <w:r>
        <w:rPr>
          <w:spacing w:val="-1"/>
        </w:rPr>
        <w:t> </w:t>
      </w:r>
      <w:r>
        <w:rPr/>
        <w:t>partnership existence if no</w:t>
      </w:r>
      <w:r>
        <w:rPr>
          <w:spacing w:val="-2"/>
        </w:rPr>
        <w:t> </w:t>
      </w:r>
      <w:r>
        <w:rPr/>
        <w:t>statement</w:t>
      </w:r>
      <w:r>
        <w:rPr>
          <w:spacing w:val="-1"/>
        </w:rPr>
        <w:t> </w:t>
      </w:r>
      <w:r>
        <w:rPr/>
        <w:t>of</w:t>
      </w:r>
      <w:r>
        <w:rPr>
          <w:spacing w:val="-1"/>
        </w:rPr>
        <w:t> </w:t>
      </w:r>
      <w:r>
        <w:rPr/>
        <w:t>partnership existence has previously been filed.</w:t>
      </w:r>
    </w:p>
    <w:p>
      <w:pPr>
        <w:pStyle w:val="Heading1"/>
        <w:spacing w:before="276"/>
        <w:ind w:left="119"/>
      </w:pPr>
      <w:r>
        <w:rPr/>
        <w:t>Amendments</w:t>
      </w:r>
      <w:r>
        <w:rPr>
          <w:spacing w:val="-8"/>
        </w:rPr>
        <w:t> </w:t>
      </w:r>
      <w:r>
        <w:rPr/>
        <w:t>specific</w:t>
      </w:r>
      <w:r>
        <w:rPr>
          <w:spacing w:val="-6"/>
        </w:rPr>
        <w:t> </w:t>
      </w:r>
      <w:r>
        <w:rPr/>
        <w:t>to</w:t>
      </w:r>
      <w:r>
        <w:rPr>
          <w:spacing w:val="-5"/>
        </w:rPr>
        <w:t> </w:t>
      </w:r>
      <w:r>
        <w:rPr/>
        <w:t>the</w:t>
      </w:r>
      <w:r>
        <w:rPr>
          <w:spacing w:val="-6"/>
        </w:rPr>
        <w:t> </w:t>
      </w:r>
      <w:r>
        <w:rPr>
          <w:spacing w:val="-4"/>
        </w:rPr>
        <w:t>DSTA</w:t>
      </w:r>
    </w:p>
    <w:p>
      <w:pPr>
        <w:pStyle w:val="BodyText"/>
        <w:spacing w:before="97"/>
        <w:rPr>
          <w:b/>
        </w:rPr>
      </w:pPr>
    </w:p>
    <w:p>
      <w:pPr>
        <w:pStyle w:val="BodyText"/>
        <w:spacing w:line="326" w:lineRule="auto" w:before="1"/>
        <w:ind w:left="119" w:right="205"/>
      </w:pPr>
      <w:r>
        <w:rPr/>
        <w:t>The DSTA was amended</w:t>
      </w:r>
      <w:r>
        <w:rPr>
          <w:spacing w:val="-2"/>
        </w:rPr>
        <w:t> </w:t>
      </w:r>
      <w:r>
        <w:rPr/>
        <w:t>to modify the</w:t>
      </w:r>
      <w:r>
        <w:rPr>
          <w:spacing w:val="-1"/>
        </w:rPr>
        <w:t> </w:t>
      </w:r>
      <w:r>
        <w:rPr/>
        <w:t>timing</w:t>
      </w:r>
      <w:r>
        <w:rPr>
          <w:spacing w:val="-1"/>
        </w:rPr>
        <w:t> </w:t>
      </w:r>
      <w:r>
        <w:rPr/>
        <w:t>by</w:t>
      </w:r>
      <w:r>
        <w:rPr>
          <w:spacing w:val="-1"/>
        </w:rPr>
        <w:t> </w:t>
      </w:r>
      <w:r>
        <w:rPr/>
        <w:t>which approvals are required in connection with conversions and</w:t>
      </w:r>
      <w:r>
        <w:rPr>
          <w:spacing w:val="-4"/>
        </w:rPr>
        <w:t> </w:t>
      </w:r>
      <w:r>
        <w:rPr/>
        <w:t>domestications,</w:t>
      </w:r>
      <w:r>
        <w:rPr>
          <w:spacing w:val="-3"/>
        </w:rPr>
        <w:t> </w:t>
      </w:r>
      <w:r>
        <w:rPr/>
        <w:t>confirm</w:t>
      </w:r>
      <w:r>
        <w:rPr>
          <w:spacing w:val="-1"/>
        </w:rPr>
        <w:t> </w:t>
      </w:r>
      <w:r>
        <w:rPr/>
        <w:t>that</w:t>
      </w:r>
      <w:r>
        <w:rPr>
          <w:spacing w:val="-4"/>
        </w:rPr>
        <w:t> </w:t>
      </w:r>
      <w:r>
        <w:rPr/>
        <w:t>series</w:t>
      </w:r>
      <w:r>
        <w:rPr>
          <w:spacing w:val="-4"/>
        </w:rPr>
        <w:t> </w:t>
      </w:r>
      <w:r>
        <w:rPr/>
        <w:t>are</w:t>
      </w:r>
      <w:r>
        <w:rPr>
          <w:spacing w:val="-3"/>
        </w:rPr>
        <w:t> </w:t>
      </w:r>
      <w:r>
        <w:rPr/>
        <w:t>bound</w:t>
      </w:r>
      <w:r>
        <w:rPr>
          <w:spacing w:val="-2"/>
        </w:rPr>
        <w:t> </w:t>
      </w:r>
      <w:r>
        <w:rPr/>
        <w:t>by</w:t>
      </w:r>
      <w:r>
        <w:rPr>
          <w:spacing w:val="-3"/>
        </w:rPr>
        <w:t> </w:t>
      </w:r>
      <w:r>
        <w:rPr/>
        <w:t>the</w:t>
      </w:r>
      <w:r>
        <w:rPr>
          <w:spacing w:val="-3"/>
        </w:rPr>
        <w:t> </w:t>
      </w:r>
      <w:r>
        <w:rPr/>
        <w:t>governing</w:t>
      </w:r>
      <w:r>
        <w:rPr>
          <w:spacing w:val="-2"/>
        </w:rPr>
        <w:t> </w:t>
      </w:r>
      <w:r>
        <w:rPr/>
        <w:t>instrument</w:t>
      </w:r>
      <w:r>
        <w:rPr>
          <w:spacing w:val="-2"/>
        </w:rPr>
        <w:t> </w:t>
      </w:r>
      <w:r>
        <w:rPr/>
        <w:t>of</w:t>
      </w:r>
      <w:r>
        <w:rPr>
          <w:spacing w:val="-1"/>
        </w:rPr>
        <w:t> </w:t>
      </w:r>
      <w:r>
        <w:rPr/>
        <w:t>a</w:t>
      </w:r>
      <w:r>
        <w:rPr>
          <w:spacing w:val="-4"/>
        </w:rPr>
        <w:t> </w:t>
      </w:r>
      <w:r>
        <w:rPr/>
        <w:t>statutory</w:t>
      </w:r>
      <w:r>
        <w:rPr>
          <w:spacing w:val="-3"/>
        </w:rPr>
        <w:t> </w:t>
      </w:r>
      <w:r>
        <w:rPr/>
        <w:t>trust</w:t>
      </w:r>
      <w:r>
        <w:rPr>
          <w:spacing w:val="-7"/>
        </w:rPr>
        <w:t> </w:t>
      </w:r>
      <w:r>
        <w:rPr/>
        <w:t>regardless of whether the series executed the governing instrument, confirm that pass-through voting is permissible, confirm that amendments to governing instruments in connection with mergers may be effected only with respect to the governing instrument of the surviving or resulting statutory trust, and specify the point in time when the facts stated in a certificate must be true.</w:t>
      </w:r>
    </w:p>
    <w:p>
      <w:pPr>
        <w:pStyle w:val="BodyText"/>
      </w:pPr>
    </w:p>
    <w:p>
      <w:pPr>
        <w:pStyle w:val="Heading2"/>
        <w:spacing w:before="1"/>
        <w:ind w:left="119"/>
        <w:rPr>
          <w:i/>
        </w:rPr>
      </w:pPr>
      <w:r>
        <w:rPr>
          <w:i/>
        </w:rPr>
        <w:t>Approval</w:t>
      </w:r>
      <w:r>
        <w:rPr>
          <w:i/>
          <w:spacing w:val="-8"/>
        </w:rPr>
        <w:t> </w:t>
      </w:r>
      <w:r>
        <w:rPr>
          <w:i/>
        </w:rPr>
        <w:t>of</w:t>
      </w:r>
      <w:r>
        <w:rPr>
          <w:i/>
          <w:spacing w:val="-6"/>
        </w:rPr>
        <w:t> </w:t>
      </w:r>
      <w:r>
        <w:rPr>
          <w:i/>
        </w:rPr>
        <w:t>Conversions</w:t>
      </w:r>
      <w:r>
        <w:rPr>
          <w:i/>
          <w:spacing w:val="-6"/>
        </w:rPr>
        <w:t> </w:t>
      </w:r>
      <w:r>
        <w:rPr>
          <w:i/>
        </w:rPr>
        <w:t>and</w:t>
      </w:r>
      <w:r>
        <w:rPr>
          <w:i/>
          <w:spacing w:val="-5"/>
        </w:rPr>
        <w:t> </w:t>
      </w:r>
      <w:r>
        <w:rPr>
          <w:i/>
          <w:spacing w:val="-2"/>
        </w:rPr>
        <w:t>Domestications</w:t>
      </w:r>
    </w:p>
    <w:p>
      <w:pPr>
        <w:pStyle w:val="BodyText"/>
        <w:spacing w:before="98"/>
        <w:rPr>
          <w:b/>
          <w:i/>
        </w:rPr>
      </w:pPr>
    </w:p>
    <w:p>
      <w:pPr>
        <w:pStyle w:val="BodyText"/>
        <w:spacing w:line="326" w:lineRule="auto"/>
        <w:ind w:left="120" w:right="257" w:hanging="1"/>
      </w:pPr>
      <w:r>
        <w:rPr/>
        <w:t>The amendments amend DSTA Sections </w:t>
      </w:r>
      <w:hyperlink r:id="rId37">
        <w:r>
          <w:rPr>
            <w:b/>
            <w:color w:val="0562C1"/>
            <w:u w:val="single" w:color="0562C1"/>
          </w:rPr>
          <w:t>3820(g)</w:t>
        </w:r>
      </w:hyperlink>
      <w:r>
        <w:rPr>
          <w:b/>
          <w:color w:val="0562C1"/>
          <w:u w:val="none"/>
        </w:rPr>
        <w:t> </w:t>
      </w:r>
      <w:r>
        <w:rPr>
          <w:u w:val="none"/>
        </w:rPr>
        <w:t>and </w:t>
      </w:r>
      <w:hyperlink r:id="rId38">
        <w:r>
          <w:rPr>
            <w:b/>
            <w:color w:val="0562C1"/>
            <w:u w:val="single" w:color="0562C1"/>
          </w:rPr>
          <w:t>3822(g)</w:t>
        </w:r>
      </w:hyperlink>
      <w:r>
        <w:rPr>
          <w:b/>
          <w:color w:val="0562C1"/>
          <w:u w:val="none"/>
        </w:rPr>
        <w:t> </w:t>
      </w:r>
      <w:r>
        <w:rPr>
          <w:u w:val="none"/>
        </w:rPr>
        <w:t>to provide that the approval of a conversion to, or domestication as, a statutory trust, and the approval of the governing instrument of such statutory trust, are</w:t>
      </w:r>
      <w:r>
        <w:rPr>
          <w:spacing w:val="-3"/>
          <w:u w:val="none"/>
        </w:rPr>
        <w:t> </w:t>
      </w:r>
      <w:r>
        <w:rPr>
          <w:u w:val="none"/>
        </w:rPr>
        <w:t>required</w:t>
      </w:r>
      <w:r>
        <w:rPr>
          <w:spacing w:val="-2"/>
          <w:u w:val="none"/>
        </w:rPr>
        <w:t> </w:t>
      </w:r>
      <w:r>
        <w:rPr>
          <w:u w:val="none"/>
        </w:rPr>
        <w:t>to</w:t>
      </w:r>
      <w:r>
        <w:rPr>
          <w:spacing w:val="-2"/>
          <w:u w:val="none"/>
        </w:rPr>
        <w:t> </w:t>
      </w:r>
      <w:r>
        <w:rPr>
          <w:u w:val="none"/>
        </w:rPr>
        <w:t>occur</w:t>
      </w:r>
      <w:r>
        <w:rPr>
          <w:spacing w:val="-4"/>
          <w:u w:val="none"/>
        </w:rPr>
        <w:t> </w:t>
      </w:r>
      <w:r>
        <w:rPr>
          <w:u w:val="none"/>
        </w:rPr>
        <w:t>prior</w:t>
      </w:r>
      <w:r>
        <w:rPr>
          <w:spacing w:val="-2"/>
          <w:u w:val="none"/>
        </w:rPr>
        <w:t> </w:t>
      </w:r>
      <w:r>
        <w:rPr>
          <w:u w:val="none"/>
        </w:rPr>
        <w:t>to</w:t>
      </w:r>
      <w:r>
        <w:rPr>
          <w:spacing w:val="-2"/>
          <w:u w:val="none"/>
        </w:rPr>
        <w:t> </w:t>
      </w:r>
      <w:r>
        <w:rPr>
          <w:u w:val="none"/>
        </w:rPr>
        <w:t>the</w:t>
      </w:r>
      <w:r>
        <w:rPr>
          <w:spacing w:val="-3"/>
          <w:u w:val="none"/>
        </w:rPr>
        <w:t> </w:t>
      </w:r>
      <w:r>
        <w:rPr>
          <w:u w:val="none"/>
        </w:rPr>
        <w:t>time</w:t>
      </w:r>
      <w:r>
        <w:rPr>
          <w:spacing w:val="-5"/>
          <w:u w:val="none"/>
        </w:rPr>
        <w:t> </w:t>
      </w:r>
      <w:r>
        <w:rPr>
          <w:u w:val="none"/>
        </w:rPr>
        <w:t>a</w:t>
      </w:r>
      <w:r>
        <w:rPr>
          <w:spacing w:val="-2"/>
          <w:u w:val="none"/>
        </w:rPr>
        <w:t> </w:t>
      </w:r>
      <w:r>
        <w:rPr>
          <w:u w:val="none"/>
        </w:rPr>
        <w:t>certificate</w:t>
      </w:r>
      <w:r>
        <w:rPr>
          <w:spacing w:val="-3"/>
          <w:u w:val="none"/>
        </w:rPr>
        <w:t> </w:t>
      </w:r>
      <w:r>
        <w:rPr>
          <w:u w:val="none"/>
        </w:rPr>
        <w:t>of</w:t>
      </w:r>
      <w:r>
        <w:rPr>
          <w:spacing w:val="-1"/>
          <w:u w:val="none"/>
        </w:rPr>
        <w:t> </w:t>
      </w:r>
      <w:r>
        <w:rPr>
          <w:u w:val="none"/>
        </w:rPr>
        <w:t>conversion</w:t>
      </w:r>
      <w:r>
        <w:rPr>
          <w:spacing w:val="-2"/>
          <w:u w:val="none"/>
        </w:rPr>
        <w:t> </w:t>
      </w:r>
      <w:r>
        <w:rPr>
          <w:u w:val="none"/>
        </w:rPr>
        <w:t>or</w:t>
      </w:r>
      <w:r>
        <w:rPr>
          <w:spacing w:val="-4"/>
          <w:u w:val="none"/>
        </w:rPr>
        <w:t> </w:t>
      </w:r>
      <w:r>
        <w:rPr>
          <w:u w:val="none"/>
        </w:rPr>
        <w:t>certificate</w:t>
      </w:r>
      <w:r>
        <w:rPr>
          <w:spacing w:val="-3"/>
          <w:u w:val="none"/>
        </w:rPr>
        <w:t> </w:t>
      </w:r>
      <w:r>
        <w:rPr>
          <w:u w:val="none"/>
        </w:rPr>
        <w:t>of</w:t>
      </w:r>
      <w:r>
        <w:rPr>
          <w:spacing w:val="-4"/>
          <w:u w:val="none"/>
        </w:rPr>
        <w:t> </w:t>
      </w:r>
      <w:r>
        <w:rPr>
          <w:u w:val="none"/>
        </w:rPr>
        <w:t>domestication,</w:t>
      </w:r>
      <w:r>
        <w:rPr>
          <w:spacing w:val="-1"/>
          <w:u w:val="none"/>
        </w:rPr>
        <w:t> </w:t>
      </w:r>
      <w:r>
        <w:rPr>
          <w:u w:val="none"/>
        </w:rPr>
        <w:t>as</w:t>
      </w:r>
      <w:r>
        <w:rPr>
          <w:spacing w:val="-4"/>
          <w:u w:val="none"/>
        </w:rPr>
        <w:t> </w:t>
      </w:r>
      <w:r>
        <w:rPr>
          <w:u w:val="none"/>
        </w:rPr>
        <w:t>applicable, becomes effective, rather than prior to the filing of such certificate.</w:t>
      </w:r>
    </w:p>
    <w:p>
      <w:pPr>
        <w:pStyle w:val="Heading2"/>
        <w:spacing w:before="285"/>
        <w:rPr>
          <w:i/>
        </w:rPr>
      </w:pPr>
      <w:r>
        <w:rPr>
          <w:i/>
        </w:rPr>
        <w:t>Series</w:t>
      </w:r>
      <w:r>
        <w:rPr>
          <w:i/>
          <w:spacing w:val="-7"/>
        </w:rPr>
        <w:t> </w:t>
      </w:r>
      <w:r>
        <w:rPr>
          <w:i/>
        </w:rPr>
        <w:t>Bound</w:t>
      </w:r>
      <w:r>
        <w:rPr>
          <w:i/>
          <w:spacing w:val="-6"/>
        </w:rPr>
        <w:t> </w:t>
      </w:r>
      <w:r>
        <w:rPr>
          <w:i/>
        </w:rPr>
        <w:t>by</w:t>
      </w:r>
      <w:r>
        <w:rPr>
          <w:i/>
          <w:spacing w:val="-6"/>
        </w:rPr>
        <w:t> </w:t>
      </w:r>
      <w:r>
        <w:rPr>
          <w:i/>
        </w:rPr>
        <w:t>Governing</w:t>
      </w:r>
      <w:r>
        <w:rPr>
          <w:i/>
          <w:spacing w:val="-4"/>
        </w:rPr>
        <w:t> </w:t>
      </w:r>
      <w:r>
        <w:rPr>
          <w:i/>
          <w:spacing w:val="-2"/>
        </w:rPr>
        <w:t>Instrument</w:t>
      </w:r>
    </w:p>
    <w:p>
      <w:pPr>
        <w:spacing w:after="0"/>
        <w:sectPr>
          <w:pgSz w:w="12240" w:h="15840"/>
          <w:pgMar w:header="0" w:footer="272" w:top="740" w:bottom="460" w:left="600" w:right="520"/>
        </w:sectPr>
      </w:pPr>
    </w:p>
    <w:p>
      <w:pPr>
        <w:pStyle w:val="BodyText"/>
        <w:spacing w:line="326" w:lineRule="auto" w:before="84"/>
        <w:ind w:left="120"/>
      </w:pPr>
      <w:r>
        <w:rPr/>
        <w:t>The</w:t>
      </w:r>
      <w:r>
        <w:rPr>
          <w:spacing w:val="-2"/>
        </w:rPr>
        <w:t> </w:t>
      </w:r>
      <w:r>
        <w:rPr/>
        <w:t>amendments</w:t>
      </w:r>
      <w:r>
        <w:rPr>
          <w:spacing w:val="-1"/>
        </w:rPr>
        <w:t> </w:t>
      </w:r>
      <w:r>
        <w:rPr/>
        <w:t>amend</w:t>
      </w:r>
      <w:r>
        <w:rPr>
          <w:spacing w:val="-1"/>
        </w:rPr>
        <w:t> </w:t>
      </w:r>
      <w:r>
        <w:rPr/>
        <w:t>DSTA</w:t>
      </w:r>
      <w:r>
        <w:rPr>
          <w:spacing w:val="-2"/>
        </w:rPr>
        <w:t> </w:t>
      </w:r>
      <w:hyperlink r:id="rId39">
        <w:r>
          <w:rPr>
            <w:b/>
            <w:color w:val="0562C1"/>
            <w:u w:val="single" w:color="0562C1"/>
          </w:rPr>
          <w:t>Section</w:t>
        </w:r>
        <w:r>
          <w:rPr>
            <w:b/>
            <w:color w:val="0562C1"/>
            <w:spacing w:val="-1"/>
            <w:u w:val="single" w:color="0562C1"/>
          </w:rPr>
          <w:t> </w:t>
        </w:r>
        <w:r>
          <w:rPr>
            <w:b/>
            <w:color w:val="0562C1"/>
            <w:u w:val="single" w:color="0562C1"/>
          </w:rPr>
          <w:t>3801(e)</w:t>
        </w:r>
      </w:hyperlink>
      <w:r>
        <w:rPr>
          <w:b/>
          <w:color w:val="0562C1"/>
          <w:u w:val="none"/>
        </w:rPr>
        <w:t> </w:t>
      </w:r>
      <w:r>
        <w:rPr>
          <w:u w:val="none"/>
        </w:rPr>
        <w:t>to</w:t>
      </w:r>
      <w:r>
        <w:rPr>
          <w:spacing w:val="-1"/>
          <w:u w:val="none"/>
        </w:rPr>
        <w:t> </w:t>
      </w:r>
      <w:r>
        <w:rPr>
          <w:u w:val="none"/>
        </w:rPr>
        <w:t>confirm</w:t>
      </w:r>
      <w:r>
        <w:rPr>
          <w:spacing w:val="-3"/>
          <w:u w:val="none"/>
        </w:rPr>
        <w:t> </w:t>
      </w:r>
      <w:r>
        <w:rPr>
          <w:u w:val="none"/>
        </w:rPr>
        <w:t>that</w:t>
      </w:r>
      <w:r>
        <w:rPr>
          <w:spacing w:val="-3"/>
          <w:u w:val="none"/>
        </w:rPr>
        <w:t> </w:t>
      </w:r>
      <w:r>
        <w:rPr>
          <w:u w:val="none"/>
        </w:rPr>
        <w:t>any</w:t>
      </w:r>
      <w:r>
        <w:rPr>
          <w:spacing w:val="-4"/>
          <w:u w:val="none"/>
        </w:rPr>
        <w:t> </w:t>
      </w:r>
      <w:r>
        <w:rPr>
          <w:u w:val="none"/>
        </w:rPr>
        <w:t>series</w:t>
      </w:r>
      <w:r>
        <w:rPr>
          <w:spacing w:val="-3"/>
          <w:u w:val="none"/>
        </w:rPr>
        <w:t> </w:t>
      </w:r>
      <w:r>
        <w:rPr>
          <w:u w:val="none"/>
        </w:rPr>
        <w:t>of a</w:t>
      </w:r>
      <w:r>
        <w:rPr>
          <w:spacing w:val="-3"/>
          <w:u w:val="none"/>
        </w:rPr>
        <w:t> </w:t>
      </w:r>
      <w:r>
        <w:rPr>
          <w:u w:val="none"/>
        </w:rPr>
        <w:t>statutory</w:t>
      </w:r>
      <w:r>
        <w:rPr>
          <w:spacing w:val="-4"/>
          <w:u w:val="none"/>
        </w:rPr>
        <w:t> </w:t>
      </w:r>
      <w:r>
        <w:rPr>
          <w:u w:val="none"/>
        </w:rPr>
        <w:t>trust</w:t>
      </w:r>
      <w:r>
        <w:rPr>
          <w:spacing w:val="-3"/>
          <w:u w:val="none"/>
        </w:rPr>
        <w:t> </w:t>
      </w:r>
      <w:r>
        <w:rPr>
          <w:u w:val="none"/>
        </w:rPr>
        <w:t>is</w:t>
      </w:r>
      <w:r>
        <w:rPr>
          <w:spacing w:val="-3"/>
          <w:u w:val="none"/>
        </w:rPr>
        <w:t> </w:t>
      </w:r>
      <w:r>
        <w:rPr>
          <w:u w:val="none"/>
        </w:rPr>
        <w:t>bound</w:t>
      </w:r>
      <w:r>
        <w:rPr>
          <w:spacing w:val="-3"/>
          <w:u w:val="none"/>
        </w:rPr>
        <w:t> </w:t>
      </w:r>
      <w:r>
        <w:rPr>
          <w:u w:val="none"/>
        </w:rPr>
        <w:t>by</w:t>
      </w:r>
      <w:r>
        <w:rPr>
          <w:spacing w:val="-2"/>
          <w:u w:val="none"/>
        </w:rPr>
        <w:t> </w:t>
      </w:r>
      <w:r>
        <w:rPr>
          <w:u w:val="none"/>
        </w:rPr>
        <w:t>the governing instrument of such statutory trust regardless of whether the series executed the governing </w:t>
      </w:r>
      <w:r>
        <w:rPr>
          <w:spacing w:val="-2"/>
          <w:u w:val="none"/>
        </w:rPr>
        <w:t>instrument.</w:t>
      </w:r>
    </w:p>
    <w:p>
      <w:pPr>
        <w:pStyle w:val="Heading2"/>
        <w:spacing w:before="283"/>
        <w:rPr>
          <w:i/>
        </w:rPr>
      </w:pPr>
      <w:r>
        <w:rPr>
          <w:i/>
        </w:rPr>
        <w:t>Permissibility</w:t>
      </w:r>
      <w:r>
        <w:rPr>
          <w:i/>
          <w:spacing w:val="-11"/>
        </w:rPr>
        <w:t> </w:t>
      </w:r>
      <w:r>
        <w:rPr>
          <w:i/>
        </w:rPr>
        <w:t>of</w:t>
      </w:r>
      <w:r>
        <w:rPr>
          <w:i/>
          <w:spacing w:val="-9"/>
        </w:rPr>
        <w:t> </w:t>
      </w:r>
      <w:r>
        <w:rPr>
          <w:i/>
        </w:rPr>
        <w:t>Pass-Through</w:t>
      </w:r>
      <w:r>
        <w:rPr>
          <w:i/>
          <w:spacing w:val="-12"/>
        </w:rPr>
        <w:t> </w:t>
      </w:r>
      <w:r>
        <w:rPr>
          <w:i/>
          <w:spacing w:val="-2"/>
        </w:rPr>
        <w:t>Voting</w:t>
      </w:r>
    </w:p>
    <w:p>
      <w:pPr>
        <w:pStyle w:val="BodyText"/>
        <w:spacing w:before="97"/>
        <w:rPr>
          <w:b/>
          <w:i/>
        </w:rPr>
      </w:pPr>
    </w:p>
    <w:p>
      <w:pPr>
        <w:pStyle w:val="BodyText"/>
        <w:spacing w:line="326" w:lineRule="auto"/>
        <w:ind w:left="120" w:right="205"/>
      </w:pPr>
      <w:r>
        <w:rPr/>
        <w:t>The amendments to the DSTA create a new </w:t>
      </w:r>
      <w:hyperlink r:id="rId40">
        <w:r>
          <w:rPr>
            <w:b/>
            <w:color w:val="0562C1"/>
            <w:u w:val="single" w:color="0562C1"/>
          </w:rPr>
          <w:t>Section 3806(p)</w:t>
        </w:r>
      </w:hyperlink>
      <w:r>
        <w:rPr>
          <w:b/>
          <w:color w:val="0562C1"/>
          <w:u w:val="none"/>
        </w:rPr>
        <w:t> </w:t>
      </w:r>
      <w:r>
        <w:rPr>
          <w:u w:val="none"/>
        </w:rPr>
        <w:t>to confirm that the trustees of a statutory trust may</w:t>
      </w:r>
      <w:r>
        <w:rPr>
          <w:spacing w:val="-2"/>
          <w:u w:val="none"/>
        </w:rPr>
        <w:t> </w:t>
      </w:r>
      <w:r>
        <w:rPr>
          <w:u w:val="none"/>
        </w:rPr>
        <w:t>authorize</w:t>
      </w:r>
      <w:r>
        <w:rPr>
          <w:spacing w:val="-2"/>
          <w:u w:val="none"/>
        </w:rPr>
        <w:t> </w:t>
      </w:r>
      <w:r>
        <w:rPr>
          <w:u w:val="none"/>
        </w:rPr>
        <w:t>the</w:t>
      </w:r>
      <w:r>
        <w:rPr>
          <w:spacing w:val="-4"/>
          <w:u w:val="none"/>
        </w:rPr>
        <w:t> </w:t>
      </w:r>
      <w:r>
        <w:rPr>
          <w:u w:val="none"/>
        </w:rPr>
        <w:t>beneficial</w:t>
      </w:r>
      <w:r>
        <w:rPr>
          <w:spacing w:val="-1"/>
          <w:u w:val="none"/>
        </w:rPr>
        <w:t> </w:t>
      </w:r>
      <w:r>
        <w:rPr>
          <w:u w:val="none"/>
        </w:rPr>
        <w:t>owners</w:t>
      </w:r>
      <w:r>
        <w:rPr>
          <w:spacing w:val="-3"/>
          <w:u w:val="none"/>
        </w:rPr>
        <w:t> </w:t>
      </w:r>
      <w:r>
        <w:rPr>
          <w:u w:val="none"/>
        </w:rPr>
        <w:t>to</w:t>
      </w:r>
      <w:r>
        <w:rPr>
          <w:spacing w:val="-4"/>
          <w:u w:val="none"/>
        </w:rPr>
        <w:t> </w:t>
      </w:r>
      <w:r>
        <w:rPr>
          <w:u w:val="none"/>
        </w:rPr>
        <w:t>direct</w:t>
      </w:r>
      <w:r>
        <w:rPr>
          <w:spacing w:val="-3"/>
          <w:u w:val="none"/>
        </w:rPr>
        <w:t> </w:t>
      </w:r>
      <w:r>
        <w:rPr>
          <w:u w:val="none"/>
        </w:rPr>
        <w:t>the</w:t>
      </w:r>
      <w:r>
        <w:rPr>
          <w:spacing w:val="-4"/>
          <w:u w:val="none"/>
        </w:rPr>
        <w:t> </w:t>
      </w:r>
      <w:r>
        <w:rPr>
          <w:u w:val="none"/>
        </w:rPr>
        <w:t>voting</w:t>
      </w:r>
      <w:r>
        <w:rPr>
          <w:spacing w:val="-1"/>
          <w:u w:val="none"/>
        </w:rPr>
        <w:t> </w:t>
      </w:r>
      <w:r>
        <w:rPr>
          <w:u w:val="none"/>
        </w:rPr>
        <w:t>of</w:t>
      </w:r>
      <w:r>
        <w:rPr>
          <w:spacing w:val="-3"/>
          <w:u w:val="none"/>
        </w:rPr>
        <w:t> </w:t>
      </w:r>
      <w:r>
        <w:rPr>
          <w:u w:val="none"/>
        </w:rPr>
        <w:t>securities</w:t>
      </w:r>
      <w:r>
        <w:rPr>
          <w:spacing w:val="-1"/>
          <w:u w:val="none"/>
        </w:rPr>
        <w:t> </w:t>
      </w:r>
      <w:r>
        <w:rPr>
          <w:u w:val="none"/>
        </w:rPr>
        <w:t>held</w:t>
      </w:r>
      <w:r>
        <w:rPr>
          <w:spacing w:val="-5"/>
          <w:u w:val="none"/>
        </w:rPr>
        <w:t> </w:t>
      </w:r>
      <w:r>
        <w:rPr>
          <w:u w:val="none"/>
        </w:rPr>
        <w:t>by</w:t>
      </w:r>
      <w:r>
        <w:rPr>
          <w:spacing w:val="-2"/>
          <w:u w:val="none"/>
        </w:rPr>
        <w:t> </w:t>
      </w:r>
      <w:r>
        <w:rPr>
          <w:u w:val="none"/>
        </w:rPr>
        <w:t>the</w:t>
      </w:r>
      <w:r>
        <w:rPr>
          <w:spacing w:val="-2"/>
          <w:u w:val="none"/>
        </w:rPr>
        <w:t> </w:t>
      </w:r>
      <w:r>
        <w:rPr>
          <w:u w:val="none"/>
        </w:rPr>
        <w:t>statutory</w:t>
      </w:r>
      <w:r>
        <w:rPr>
          <w:spacing w:val="-2"/>
          <w:u w:val="none"/>
        </w:rPr>
        <w:t> </w:t>
      </w:r>
      <w:r>
        <w:rPr>
          <w:u w:val="none"/>
        </w:rPr>
        <w:t>trust</w:t>
      </w:r>
      <w:r>
        <w:rPr>
          <w:spacing w:val="-3"/>
          <w:u w:val="none"/>
        </w:rPr>
        <w:t> </w:t>
      </w:r>
      <w:r>
        <w:rPr>
          <w:u w:val="none"/>
        </w:rPr>
        <w:t>and</w:t>
      </w:r>
      <w:r>
        <w:rPr>
          <w:spacing w:val="-1"/>
          <w:u w:val="none"/>
        </w:rPr>
        <w:t> </w:t>
      </w:r>
      <w:r>
        <w:rPr>
          <w:u w:val="none"/>
        </w:rPr>
        <w:t>to</w:t>
      </w:r>
      <w:r>
        <w:rPr>
          <w:spacing w:val="-4"/>
          <w:u w:val="none"/>
        </w:rPr>
        <w:t> </w:t>
      </w:r>
      <w:r>
        <w:rPr>
          <w:u w:val="none"/>
        </w:rPr>
        <w:t>provide that a trustee shall have</w:t>
      </w:r>
      <w:r>
        <w:rPr>
          <w:spacing w:val="-4"/>
          <w:u w:val="none"/>
        </w:rPr>
        <w:t> </w:t>
      </w:r>
      <w:r>
        <w:rPr>
          <w:u w:val="none"/>
        </w:rPr>
        <w:t>no duties or liabilities with respect to</w:t>
      </w:r>
      <w:r>
        <w:rPr>
          <w:spacing w:val="-1"/>
          <w:u w:val="none"/>
        </w:rPr>
        <w:t> </w:t>
      </w:r>
      <w:r>
        <w:rPr>
          <w:u w:val="none"/>
        </w:rPr>
        <w:t>the voting of such securities if the trustees have exercised the standard of care required of the trustees under the governing instrument or the DSTA in connection with authorizing the beneficial owners to direct how such securities will be voted.</w:t>
      </w:r>
    </w:p>
    <w:p>
      <w:pPr>
        <w:pStyle w:val="BodyText"/>
        <w:spacing w:before="2"/>
      </w:pPr>
    </w:p>
    <w:p>
      <w:pPr>
        <w:pStyle w:val="Heading2"/>
        <w:rPr>
          <w:i/>
        </w:rPr>
      </w:pPr>
      <w:r>
        <w:rPr>
          <w:i/>
        </w:rPr>
        <w:t>Amendments</w:t>
      </w:r>
      <w:r>
        <w:rPr>
          <w:i/>
          <w:spacing w:val="-7"/>
        </w:rPr>
        <w:t> </w:t>
      </w:r>
      <w:r>
        <w:rPr>
          <w:i/>
        </w:rPr>
        <w:t>in</w:t>
      </w:r>
      <w:r>
        <w:rPr>
          <w:i/>
          <w:spacing w:val="-9"/>
        </w:rPr>
        <w:t> </w:t>
      </w:r>
      <w:r>
        <w:rPr>
          <w:i/>
        </w:rPr>
        <w:t>connection</w:t>
      </w:r>
      <w:r>
        <w:rPr>
          <w:i/>
          <w:spacing w:val="-7"/>
        </w:rPr>
        <w:t> </w:t>
      </w:r>
      <w:r>
        <w:rPr>
          <w:i/>
        </w:rPr>
        <w:t>with</w:t>
      </w:r>
      <w:r>
        <w:rPr>
          <w:i/>
          <w:spacing w:val="-7"/>
        </w:rPr>
        <w:t> </w:t>
      </w:r>
      <w:r>
        <w:rPr>
          <w:i/>
          <w:spacing w:val="-2"/>
        </w:rPr>
        <w:t>Mergers</w:t>
      </w:r>
    </w:p>
    <w:p>
      <w:pPr>
        <w:pStyle w:val="BodyText"/>
        <w:spacing w:before="95"/>
        <w:rPr>
          <w:b/>
          <w:i/>
        </w:rPr>
      </w:pPr>
    </w:p>
    <w:p>
      <w:pPr>
        <w:pStyle w:val="BodyText"/>
        <w:spacing w:line="328" w:lineRule="auto"/>
        <w:ind w:left="120" w:right="205"/>
      </w:pPr>
      <w:r>
        <w:rPr/>
        <w:t>The amendments amend DSTA </w:t>
      </w:r>
      <w:hyperlink r:id="rId41">
        <w:r>
          <w:rPr>
            <w:b/>
            <w:color w:val="0562C1"/>
            <w:u w:val="single" w:color="0562C1"/>
          </w:rPr>
          <w:t>Section 3815(f)</w:t>
        </w:r>
      </w:hyperlink>
      <w:r>
        <w:rPr>
          <w:b/>
          <w:color w:val="0562C1"/>
          <w:u w:val="none"/>
        </w:rPr>
        <w:t> </w:t>
      </w:r>
      <w:r>
        <w:rPr>
          <w:u w:val="none"/>
        </w:rPr>
        <w:t>to confirm that an amendment to a governing instrument or the</w:t>
      </w:r>
      <w:r>
        <w:rPr>
          <w:spacing w:val="-2"/>
          <w:u w:val="none"/>
        </w:rPr>
        <w:t> </w:t>
      </w:r>
      <w:r>
        <w:rPr>
          <w:u w:val="none"/>
        </w:rPr>
        <w:t>adoption</w:t>
      </w:r>
      <w:r>
        <w:rPr>
          <w:spacing w:val="-3"/>
          <w:u w:val="none"/>
        </w:rPr>
        <w:t> </w:t>
      </w:r>
      <w:r>
        <w:rPr>
          <w:u w:val="none"/>
        </w:rPr>
        <w:t>of</w:t>
      </w:r>
      <w:r>
        <w:rPr>
          <w:spacing w:val="-3"/>
          <w:u w:val="none"/>
        </w:rPr>
        <w:t> </w:t>
      </w:r>
      <w:r>
        <w:rPr>
          <w:u w:val="none"/>
        </w:rPr>
        <w:t>a</w:t>
      </w:r>
      <w:r>
        <w:rPr>
          <w:spacing w:val="-1"/>
          <w:u w:val="none"/>
        </w:rPr>
        <w:t> </w:t>
      </w:r>
      <w:r>
        <w:rPr>
          <w:u w:val="none"/>
        </w:rPr>
        <w:t>new</w:t>
      </w:r>
      <w:r>
        <w:rPr>
          <w:spacing w:val="-2"/>
          <w:u w:val="none"/>
        </w:rPr>
        <w:t> </w:t>
      </w:r>
      <w:r>
        <w:rPr>
          <w:u w:val="none"/>
        </w:rPr>
        <w:t>governing</w:t>
      </w:r>
      <w:r>
        <w:rPr>
          <w:spacing w:val="-1"/>
          <w:u w:val="none"/>
        </w:rPr>
        <w:t> </w:t>
      </w:r>
      <w:r>
        <w:rPr>
          <w:u w:val="none"/>
        </w:rPr>
        <w:t>instrument</w:t>
      </w:r>
      <w:r>
        <w:rPr>
          <w:spacing w:val="-1"/>
          <w:u w:val="none"/>
        </w:rPr>
        <w:t> </w:t>
      </w:r>
      <w:r>
        <w:rPr>
          <w:u w:val="none"/>
        </w:rPr>
        <w:t>in</w:t>
      </w:r>
      <w:r>
        <w:rPr>
          <w:spacing w:val="-1"/>
          <w:u w:val="none"/>
        </w:rPr>
        <w:t> </w:t>
      </w:r>
      <w:r>
        <w:rPr>
          <w:u w:val="none"/>
        </w:rPr>
        <w:t>connection</w:t>
      </w:r>
      <w:r>
        <w:rPr>
          <w:spacing w:val="-3"/>
          <w:u w:val="none"/>
        </w:rPr>
        <w:t> </w:t>
      </w:r>
      <w:r>
        <w:rPr>
          <w:u w:val="none"/>
        </w:rPr>
        <w:t>with</w:t>
      </w:r>
      <w:r>
        <w:rPr>
          <w:spacing w:val="-1"/>
          <w:u w:val="none"/>
        </w:rPr>
        <w:t> </w:t>
      </w:r>
      <w:r>
        <w:rPr>
          <w:u w:val="none"/>
        </w:rPr>
        <w:t>a</w:t>
      </w:r>
      <w:r>
        <w:rPr>
          <w:spacing w:val="-3"/>
          <w:u w:val="none"/>
        </w:rPr>
        <w:t> </w:t>
      </w:r>
      <w:r>
        <w:rPr>
          <w:u w:val="none"/>
        </w:rPr>
        <w:t>merger</w:t>
      </w:r>
      <w:r>
        <w:rPr>
          <w:spacing w:val="-3"/>
          <w:u w:val="none"/>
        </w:rPr>
        <w:t> </w:t>
      </w:r>
      <w:r>
        <w:rPr>
          <w:u w:val="none"/>
        </w:rPr>
        <w:t>may</w:t>
      </w:r>
      <w:r>
        <w:rPr>
          <w:spacing w:val="-2"/>
          <w:u w:val="none"/>
        </w:rPr>
        <w:t> </w:t>
      </w:r>
      <w:r>
        <w:rPr>
          <w:u w:val="none"/>
        </w:rPr>
        <w:t>be</w:t>
      </w:r>
      <w:r>
        <w:rPr>
          <w:spacing w:val="-4"/>
          <w:u w:val="none"/>
        </w:rPr>
        <w:t> </w:t>
      </w:r>
      <w:r>
        <w:rPr>
          <w:u w:val="none"/>
        </w:rPr>
        <w:t>effected</w:t>
      </w:r>
      <w:r>
        <w:rPr>
          <w:spacing w:val="-1"/>
          <w:u w:val="none"/>
        </w:rPr>
        <w:t> </w:t>
      </w:r>
      <w:r>
        <w:rPr>
          <w:u w:val="none"/>
        </w:rPr>
        <w:t>only</w:t>
      </w:r>
      <w:r>
        <w:rPr>
          <w:spacing w:val="-2"/>
          <w:u w:val="none"/>
        </w:rPr>
        <w:t> </w:t>
      </w:r>
      <w:r>
        <w:rPr>
          <w:u w:val="none"/>
        </w:rPr>
        <w:t>with</w:t>
      </w:r>
      <w:r>
        <w:rPr>
          <w:spacing w:val="-1"/>
          <w:u w:val="none"/>
        </w:rPr>
        <w:t> </w:t>
      </w:r>
      <w:r>
        <w:rPr>
          <w:u w:val="none"/>
        </w:rPr>
        <w:t>respect</w:t>
      </w:r>
      <w:r>
        <w:rPr>
          <w:spacing w:val="-1"/>
          <w:u w:val="none"/>
        </w:rPr>
        <w:t> </w:t>
      </w:r>
      <w:r>
        <w:rPr>
          <w:u w:val="none"/>
        </w:rPr>
        <w:t>to the governing instrument of the surviving or resulting statutory trust and not with respect to the governing instrument of a constituent statutory trust that is not the surviving or resulting statutory trust.</w:t>
      </w:r>
    </w:p>
    <w:p>
      <w:pPr>
        <w:pStyle w:val="Heading2"/>
        <w:spacing w:before="274"/>
        <w:rPr>
          <w:i/>
        </w:rPr>
      </w:pPr>
      <w:r>
        <w:rPr>
          <w:i/>
        </w:rPr>
        <w:t>Facts</w:t>
      </w:r>
      <w:r>
        <w:rPr>
          <w:i/>
          <w:spacing w:val="-3"/>
        </w:rPr>
        <w:t> </w:t>
      </w:r>
      <w:r>
        <w:rPr>
          <w:i/>
        </w:rPr>
        <w:t>in</w:t>
      </w:r>
      <w:r>
        <w:rPr>
          <w:i/>
          <w:spacing w:val="-6"/>
        </w:rPr>
        <w:t> </w:t>
      </w:r>
      <w:r>
        <w:rPr>
          <w:i/>
        </w:rPr>
        <w:t>a</w:t>
      </w:r>
      <w:r>
        <w:rPr>
          <w:i/>
          <w:spacing w:val="-5"/>
        </w:rPr>
        <w:t> </w:t>
      </w:r>
      <w:r>
        <w:rPr>
          <w:i/>
        </w:rPr>
        <w:t>Certificate</w:t>
      </w:r>
      <w:r>
        <w:rPr>
          <w:i/>
          <w:spacing w:val="-8"/>
        </w:rPr>
        <w:t> </w:t>
      </w:r>
      <w:r>
        <w:rPr>
          <w:i/>
        </w:rPr>
        <w:t>must</w:t>
      </w:r>
      <w:r>
        <w:rPr>
          <w:i/>
          <w:spacing w:val="-3"/>
        </w:rPr>
        <w:t> </w:t>
      </w:r>
      <w:r>
        <w:rPr>
          <w:i/>
        </w:rPr>
        <w:t>be</w:t>
      </w:r>
      <w:r>
        <w:rPr>
          <w:i/>
          <w:spacing w:val="-6"/>
        </w:rPr>
        <w:t> </w:t>
      </w:r>
      <w:r>
        <w:rPr>
          <w:i/>
        </w:rPr>
        <w:t>True</w:t>
      </w:r>
      <w:r>
        <w:rPr>
          <w:i/>
          <w:spacing w:val="-3"/>
        </w:rPr>
        <w:t> </w:t>
      </w:r>
      <w:r>
        <w:rPr>
          <w:i/>
        </w:rPr>
        <w:t>upon</w:t>
      </w:r>
      <w:r>
        <w:rPr>
          <w:i/>
          <w:spacing w:val="-6"/>
        </w:rPr>
        <w:t> </w:t>
      </w:r>
      <w:r>
        <w:rPr>
          <w:i/>
          <w:spacing w:val="-2"/>
        </w:rPr>
        <w:t>Effectiveness</w:t>
      </w:r>
    </w:p>
    <w:p>
      <w:pPr>
        <w:pStyle w:val="BodyText"/>
        <w:spacing w:before="97"/>
        <w:rPr>
          <w:b/>
          <w:i/>
        </w:rPr>
      </w:pPr>
    </w:p>
    <w:p>
      <w:pPr>
        <w:pStyle w:val="BodyText"/>
        <w:spacing w:line="328" w:lineRule="auto"/>
        <w:ind w:left="120" w:right="218"/>
      </w:pPr>
      <w:r>
        <w:rPr/>
        <w:t>The</w:t>
      </w:r>
      <w:r>
        <w:rPr>
          <w:spacing w:val="-2"/>
        </w:rPr>
        <w:t> </w:t>
      </w:r>
      <w:r>
        <w:rPr/>
        <w:t>amendments</w:t>
      </w:r>
      <w:r>
        <w:rPr>
          <w:spacing w:val="-1"/>
        </w:rPr>
        <w:t> </w:t>
      </w:r>
      <w:r>
        <w:rPr/>
        <w:t>amend</w:t>
      </w:r>
      <w:r>
        <w:rPr>
          <w:spacing w:val="-1"/>
        </w:rPr>
        <w:t> </w:t>
      </w:r>
      <w:r>
        <w:rPr/>
        <w:t>DSTA</w:t>
      </w:r>
      <w:r>
        <w:rPr>
          <w:spacing w:val="-2"/>
        </w:rPr>
        <w:t> </w:t>
      </w:r>
      <w:hyperlink r:id="rId42">
        <w:r>
          <w:rPr>
            <w:b/>
            <w:color w:val="0562C1"/>
            <w:u w:val="single" w:color="0562C1"/>
          </w:rPr>
          <w:t>Section</w:t>
        </w:r>
        <w:r>
          <w:rPr>
            <w:b/>
            <w:color w:val="0562C1"/>
            <w:spacing w:val="-1"/>
            <w:u w:val="single" w:color="0562C1"/>
          </w:rPr>
          <w:t> </w:t>
        </w:r>
        <w:r>
          <w:rPr>
            <w:b/>
            <w:color w:val="0562C1"/>
            <w:u w:val="single" w:color="0562C1"/>
          </w:rPr>
          <w:t>3811</w:t>
        </w:r>
      </w:hyperlink>
      <w:r>
        <w:rPr>
          <w:b/>
          <w:color w:val="0562C1"/>
          <w:spacing w:val="-1"/>
          <w:u w:val="none"/>
        </w:rPr>
        <w:t> </w:t>
      </w:r>
      <w:r>
        <w:rPr>
          <w:u w:val="none"/>
        </w:rPr>
        <w:t>to</w:t>
      </w:r>
      <w:r>
        <w:rPr>
          <w:spacing w:val="-4"/>
          <w:u w:val="none"/>
        </w:rPr>
        <w:t> </w:t>
      </w:r>
      <w:r>
        <w:rPr>
          <w:u w:val="none"/>
        </w:rPr>
        <w:t>provide</w:t>
      </w:r>
      <w:r>
        <w:rPr>
          <w:spacing w:val="-2"/>
          <w:u w:val="none"/>
        </w:rPr>
        <w:t> </w:t>
      </w:r>
      <w:r>
        <w:rPr>
          <w:u w:val="none"/>
        </w:rPr>
        <w:t>that</w:t>
      </w:r>
      <w:r>
        <w:rPr>
          <w:spacing w:val="-3"/>
          <w:u w:val="none"/>
        </w:rPr>
        <w:t> </w:t>
      </w:r>
      <w:r>
        <w:rPr>
          <w:u w:val="none"/>
        </w:rPr>
        <w:t>the</w:t>
      </w:r>
      <w:r>
        <w:rPr>
          <w:spacing w:val="-2"/>
          <w:u w:val="none"/>
        </w:rPr>
        <w:t> </w:t>
      </w:r>
      <w:r>
        <w:rPr>
          <w:u w:val="none"/>
        </w:rPr>
        <w:t>execution</w:t>
      </w:r>
      <w:r>
        <w:rPr>
          <w:spacing w:val="-1"/>
          <w:u w:val="none"/>
        </w:rPr>
        <w:t> </w:t>
      </w:r>
      <w:r>
        <w:rPr>
          <w:u w:val="none"/>
        </w:rPr>
        <w:t>of</w:t>
      </w:r>
      <w:r>
        <w:rPr>
          <w:spacing w:val="-3"/>
          <w:u w:val="none"/>
        </w:rPr>
        <w:t> </w:t>
      </w:r>
      <w:r>
        <w:rPr>
          <w:u w:val="none"/>
        </w:rPr>
        <w:t>a</w:t>
      </w:r>
      <w:r>
        <w:rPr>
          <w:spacing w:val="-1"/>
          <w:u w:val="none"/>
        </w:rPr>
        <w:t> </w:t>
      </w:r>
      <w:r>
        <w:rPr>
          <w:u w:val="none"/>
        </w:rPr>
        <w:t>certificate</w:t>
      </w:r>
      <w:r>
        <w:rPr>
          <w:spacing w:val="-4"/>
          <w:u w:val="none"/>
        </w:rPr>
        <w:t> </w:t>
      </w:r>
      <w:r>
        <w:rPr>
          <w:u w:val="none"/>
        </w:rPr>
        <w:t>by</w:t>
      </w:r>
      <w:r>
        <w:rPr>
          <w:spacing w:val="-2"/>
          <w:u w:val="none"/>
        </w:rPr>
        <w:t> </w:t>
      </w:r>
      <w:r>
        <w:rPr>
          <w:u w:val="none"/>
        </w:rPr>
        <w:t>a</w:t>
      </w:r>
      <w:r>
        <w:rPr>
          <w:spacing w:val="-3"/>
          <w:u w:val="none"/>
        </w:rPr>
        <w:t> </w:t>
      </w:r>
      <w:r>
        <w:rPr>
          <w:u w:val="none"/>
        </w:rPr>
        <w:t>trustee</w:t>
      </w:r>
      <w:r>
        <w:rPr>
          <w:spacing w:val="-2"/>
          <w:u w:val="none"/>
        </w:rPr>
        <w:t> </w:t>
      </w:r>
      <w:r>
        <w:rPr>
          <w:u w:val="none"/>
        </w:rPr>
        <w:t>or</w:t>
      </w:r>
      <w:r>
        <w:rPr>
          <w:spacing w:val="-1"/>
          <w:u w:val="none"/>
        </w:rPr>
        <w:t> </w:t>
      </w:r>
      <w:r>
        <w:rPr>
          <w:u w:val="none"/>
        </w:rPr>
        <w:t>other person who is authorized to execute such certificate constitutes an oath or affirmation that, to the best of</w:t>
      </w:r>
      <w:r>
        <w:rPr>
          <w:spacing w:val="40"/>
          <w:u w:val="none"/>
        </w:rPr>
        <w:t> </w:t>
      </w:r>
      <w:r>
        <w:rPr>
          <w:u w:val="none"/>
        </w:rPr>
        <w:t>such trustee's or such other person's knowledge and belief, the facts stated in such certificate shall be true at the time such certificate becomes effective, rather than at the time such certificate is executed or filed.</w:t>
      </w:r>
    </w:p>
    <w:p>
      <w:pPr>
        <w:pStyle w:val="Heading1"/>
        <w:spacing w:before="274"/>
      </w:pPr>
      <w:r>
        <w:rPr>
          <w:spacing w:val="-2"/>
        </w:rPr>
        <w:t>Conclusion</w:t>
      </w:r>
    </w:p>
    <w:p>
      <w:pPr>
        <w:pStyle w:val="BodyText"/>
        <w:spacing w:before="97"/>
        <w:rPr>
          <w:b/>
        </w:rPr>
      </w:pPr>
    </w:p>
    <w:p>
      <w:pPr>
        <w:pStyle w:val="BodyText"/>
        <w:spacing w:line="328" w:lineRule="auto"/>
        <w:ind w:left="120" w:right="205"/>
      </w:pPr>
      <w:r>
        <w:rPr/>
        <w:t>The 2024 amendments to the DGCL, the DLLCA, the DRULPA, the DRUPA, and the DSTA continue the practice of amending Delaware's corporation and alternative entity laws to keep the laws current and to maintain Delaware's</w:t>
      </w:r>
      <w:r>
        <w:rPr>
          <w:spacing w:val="-1"/>
        </w:rPr>
        <w:t> </w:t>
      </w:r>
      <w:r>
        <w:rPr/>
        <w:t>national</w:t>
      </w:r>
      <w:r>
        <w:rPr>
          <w:spacing w:val="-4"/>
        </w:rPr>
        <w:t> </w:t>
      </w:r>
      <w:r>
        <w:rPr/>
        <w:t>preeminence.</w:t>
      </w:r>
      <w:r>
        <w:rPr>
          <w:spacing w:val="-4"/>
        </w:rPr>
        <w:t> </w:t>
      </w:r>
      <w:r>
        <w:rPr/>
        <w:t>Attorneys</w:t>
      </w:r>
      <w:r>
        <w:rPr>
          <w:spacing w:val="-1"/>
        </w:rPr>
        <w:t> </w:t>
      </w:r>
      <w:r>
        <w:rPr/>
        <w:t>advising</w:t>
      </w:r>
      <w:r>
        <w:rPr>
          <w:spacing w:val="-1"/>
        </w:rPr>
        <w:t> </w:t>
      </w:r>
      <w:r>
        <w:rPr/>
        <w:t>clients</w:t>
      </w:r>
      <w:r>
        <w:rPr>
          <w:spacing w:val="-3"/>
        </w:rPr>
        <w:t> </w:t>
      </w:r>
      <w:r>
        <w:rPr/>
        <w:t>with</w:t>
      </w:r>
      <w:r>
        <w:rPr>
          <w:spacing w:val="-1"/>
        </w:rPr>
        <w:t> </w:t>
      </w:r>
      <w:r>
        <w:rPr/>
        <w:t>respect</w:t>
      </w:r>
      <w:r>
        <w:rPr>
          <w:spacing w:val="-6"/>
        </w:rPr>
        <w:t> </w:t>
      </w:r>
      <w:r>
        <w:rPr/>
        <w:t>to</w:t>
      </w:r>
      <w:r>
        <w:rPr>
          <w:spacing w:val="-1"/>
        </w:rPr>
        <w:t> </w:t>
      </w:r>
      <w:r>
        <w:rPr/>
        <w:t>Delaware</w:t>
      </w:r>
      <w:r>
        <w:rPr>
          <w:spacing w:val="-4"/>
        </w:rPr>
        <w:t> </w:t>
      </w:r>
      <w:r>
        <w:rPr/>
        <w:t>entities</w:t>
      </w:r>
      <w:r>
        <w:rPr>
          <w:spacing w:val="-1"/>
        </w:rPr>
        <w:t> </w:t>
      </w:r>
      <w:r>
        <w:rPr/>
        <w:t>will</w:t>
      </w:r>
      <w:r>
        <w:rPr>
          <w:spacing w:val="-4"/>
        </w:rPr>
        <w:t> </w:t>
      </w:r>
      <w:r>
        <w:rPr/>
        <w:t>want</w:t>
      </w:r>
      <w:r>
        <w:rPr>
          <w:spacing w:val="-1"/>
        </w:rPr>
        <w:t> </w:t>
      </w:r>
      <w:r>
        <w:rPr/>
        <w:t>to</w:t>
      </w:r>
      <w:r>
        <w:rPr>
          <w:spacing w:val="-4"/>
        </w:rPr>
        <w:t> </w:t>
      </w:r>
      <w:r>
        <w:rPr/>
        <w:t>stay abreast of these changes.</w:t>
      </w:r>
    </w:p>
    <w:p>
      <w:pPr>
        <w:spacing w:line="328" w:lineRule="auto" w:before="274"/>
        <w:ind w:left="119" w:right="205" w:firstLine="0"/>
        <w:jc w:val="left"/>
        <w:rPr>
          <w:i/>
          <w:sz w:val="21"/>
        </w:rPr>
      </w:pPr>
      <w:r>
        <w:rPr>
          <w:i/>
          <w:sz w:val="21"/>
        </w:rPr>
        <w:t>These materials have been prepared solely for informational and educational purposes, do not create an attorney-</w:t>
      </w:r>
      <w:r>
        <w:rPr>
          <w:i/>
          <w:sz w:val="21"/>
        </w:rPr>
        <w:t> client relationship with the author(s) or Morris, Nichols, Arsht &amp; Tunnell LLP, and should not be used as a substitute for legal</w:t>
      </w:r>
      <w:r>
        <w:rPr>
          <w:i/>
          <w:spacing w:val="-4"/>
          <w:sz w:val="21"/>
        </w:rPr>
        <w:t> </w:t>
      </w:r>
      <w:r>
        <w:rPr>
          <w:i/>
          <w:sz w:val="21"/>
        </w:rPr>
        <w:t>counseling</w:t>
      </w:r>
      <w:r>
        <w:rPr>
          <w:i/>
          <w:spacing w:val="-1"/>
          <w:sz w:val="21"/>
        </w:rPr>
        <w:t> </w:t>
      </w:r>
      <w:r>
        <w:rPr>
          <w:i/>
          <w:sz w:val="21"/>
        </w:rPr>
        <w:t>in</w:t>
      </w:r>
      <w:r>
        <w:rPr>
          <w:i/>
          <w:spacing w:val="-3"/>
          <w:sz w:val="21"/>
        </w:rPr>
        <w:t> </w:t>
      </w:r>
      <w:r>
        <w:rPr>
          <w:i/>
          <w:sz w:val="21"/>
        </w:rPr>
        <w:t>specific</w:t>
      </w:r>
      <w:r>
        <w:rPr>
          <w:i/>
          <w:spacing w:val="-2"/>
          <w:sz w:val="21"/>
        </w:rPr>
        <w:t> </w:t>
      </w:r>
      <w:r>
        <w:rPr>
          <w:i/>
          <w:sz w:val="21"/>
        </w:rPr>
        <w:t>situations.</w:t>
      </w:r>
      <w:r>
        <w:rPr>
          <w:i/>
          <w:spacing w:val="-4"/>
          <w:sz w:val="21"/>
        </w:rPr>
        <w:t> </w:t>
      </w:r>
      <w:r>
        <w:rPr>
          <w:i/>
          <w:sz w:val="21"/>
        </w:rPr>
        <w:t>These</w:t>
      </w:r>
      <w:r>
        <w:rPr>
          <w:i/>
          <w:spacing w:val="-4"/>
          <w:sz w:val="21"/>
        </w:rPr>
        <w:t> </w:t>
      </w:r>
      <w:r>
        <w:rPr>
          <w:i/>
          <w:sz w:val="21"/>
        </w:rPr>
        <w:t>materials reflect only</w:t>
      </w:r>
      <w:r>
        <w:rPr>
          <w:i/>
          <w:spacing w:val="-2"/>
          <w:sz w:val="21"/>
        </w:rPr>
        <w:t> </w:t>
      </w:r>
      <w:r>
        <w:rPr>
          <w:i/>
          <w:sz w:val="21"/>
        </w:rPr>
        <w:t>the</w:t>
      </w:r>
      <w:r>
        <w:rPr>
          <w:i/>
          <w:spacing w:val="-4"/>
          <w:sz w:val="21"/>
        </w:rPr>
        <w:t> </w:t>
      </w:r>
      <w:r>
        <w:rPr>
          <w:i/>
          <w:sz w:val="21"/>
        </w:rPr>
        <w:t>personal</w:t>
      </w:r>
      <w:r>
        <w:rPr>
          <w:i/>
          <w:spacing w:val="-4"/>
          <w:sz w:val="21"/>
        </w:rPr>
        <w:t> </w:t>
      </w:r>
      <w:r>
        <w:rPr>
          <w:i/>
          <w:sz w:val="21"/>
        </w:rPr>
        <w:t>views of</w:t>
      </w:r>
      <w:r>
        <w:rPr>
          <w:i/>
          <w:spacing w:val="-2"/>
          <w:sz w:val="21"/>
        </w:rPr>
        <w:t> </w:t>
      </w:r>
      <w:r>
        <w:rPr>
          <w:i/>
          <w:sz w:val="21"/>
        </w:rPr>
        <w:t>the</w:t>
      </w:r>
      <w:r>
        <w:rPr>
          <w:i/>
          <w:spacing w:val="-4"/>
          <w:sz w:val="21"/>
        </w:rPr>
        <w:t> </w:t>
      </w:r>
      <w:r>
        <w:rPr>
          <w:i/>
          <w:sz w:val="21"/>
        </w:rPr>
        <w:t>author(s)</w:t>
      </w:r>
      <w:r>
        <w:rPr>
          <w:i/>
          <w:spacing w:val="-3"/>
          <w:sz w:val="21"/>
        </w:rPr>
        <w:t> </w:t>
      </w:r>
      <w:r>
        <w:rPr>
          <w:i/>
          <w:sz w:val="21"/>
        </w:rPr>
        <w:t>and</w:t>
      </w:r>
      <w:r>
        <w:rPr>
          <w:i/>
          <w:spacing w:val="-3"/>
          <w:sz w:val="21"/>
        </w:rPr>
        <w:t> </w:t>
      </w:r>
      <w:r>
        <w:rPr>
          <w:i/>
          <w:sz w:val="21"/>
        </w:rPr>
        <w:t>are</w:t>
      </w:r>
      <w:r>
        <w:rPr>
          <w:i/>
          <w:spacing w:val="-4"/>
          <w:sz w:val="21"/>
        </w:rPr>
        <w:t> </w:t>
      </w:r>
      <w:r>
        <w:rPr>
          <w:i/>
          <w:sz w:val="21"/>
        </w:rPr>
        <w:t>not necessarily the views of Morris, Nichols, Arsht &amp; Tunnell LLP or its clients.</w:t>
      </w:r>
    </w:p>
    <w:sectPr>
      <w:pgSz w:w="12240" w:h="15840"/>
      <w:pgMar w:header="0" w:footer="272" w:top="740" w:bottom="460" w:left="60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Open Sans">
    <w:altName w:val="Open San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71104">
              <wp:simplePos x="0" y="0"/>
              <wp:positionH relativeFrom="page">
                <wp:posOffset>444500</wp:posOffset>
              </wp:positionH>
              <wp:positionV relativeFrom="page">
                <wp:posOffset>9746233</wp:posOffset>
              </wp:positionV>
              <wp:extent cx="584200" cy="1143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84200" cy="114300"/>
                      </a:xfrm>
                      <a:prstGeom prst="rect">
                        <a:avLst/>
                      </a:prstGeom>
                    </wps:spPr>
                    <wps:txbx>
                      <w:txbxContent>
                        <w:p>
                          <w:pPr>
                            <w:spacing w:line="162" w:lineRule="exact" w:before="0"/>
                            <w:ind w:left="20" w:right="0" w:firstLine="0"/>
                            <w:jc w:val="left"/>
                            <w:rPr>
                              <w:rFonts w:ascii="Calibri"/>
                              <w:sz w:val="14"/>
                            </w:rPr>
                          </w:pPr>
                          <w:r>
                            <w:rPr>
                              <w:rFonts w:ascii="Calibri"/>
                              <w:sz w:val="14"/>
                            </w:rPr>
                            <w:t>Bloomberg</w:t>
                          </w:r>
                          <w:r>
                            <w:rPr>
                              <w:rFonts w:ascii="Calibri"/>
                              <w:spacing w:val="-8"/>
                              <w:sz w:val="14"/>
                            </w:rPr>
                            <w:t> </w:t>
                          </w:r>
                          <w:r>
                            <w:rPr>
                              <w:rFonts w:ascii="Calibri"/>
                              <w:spacing w:val="-5"/>
                              <w:sz w:val="14"/>
                            </w:rPr>
                            <w:t>Law</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pt;margin-top:767.419983pt;width:46pt;height:9pt;mso-position-horizontal-relative:page;mso-position-vertical-relative:page;z-index:-15845376" type="#_x0000_t202" id="docshape1" filled="false" stroked="false">
              <v:textbox inset="0,0,0,0">
                <w:txbxContent>
                  <w:p>
                    <w:pPr>
                      <w:spacing w:line="162" w:lineRule="exact" w:before="0"/>
                      <w:ind w:left="20" w:right="0" w:firstLine="0"/>
                      <w:jc w:val="left"/>
                      <w:rPr>
                        <w:rFonts w:ascii="Calibri"/>
                        <w:sz w:val="14"/>
                      </w:rPr>
                    </w:pPr>
                    <w:r>
                      <w:rPr>
                        <w:rFonts w:ascii="Calibri"/>
                        <w:sz w:val="14"/>
                      </w:rPr>
                      <w:t>Bloomberg</w:t>
                    </w:r>
                    <w:r>
                      <w:rPr>
                        <w:rFonts w:ascii="Calibri"/>
                        <w:spacing w:val="-8"/>
                        <w:sz w:val="14"/>
                      </w:rPr>
                      <w:t> </w:t>
                    </w:r>
                    <w:r>
                      <w:rPr>
                        <w:rFonts w:ascii="Calibri"/>
                        <w:spacing w:val="-5"/>
                        <w:sz w:val="14"/>
                      </w:rPr>
                      <w:t>Law</w:t>
                    </w:r>
                  </w:p>
                </w:txbxContent>
              </v:textbox>
              <w10:wrap type="none"/>
            </v:shape>
          </w:pict>
        </mc:Fallback>
      </mc:AlternateContent>
    </w:r>
    <w:r>
      <w:rPr/>
      <mc:AlternateContent>
        <mc:Choice Requires="wps">
          <w:drawing>
            <wp:anchor distT="0" distB="0" distL="0" distR="0" allowOverlap="1" layoutInCell="1" locked="0" behindDoc="1" simplePos="0" relativeHeight="487471616">
              <wp:simplePos x="0" y="0"/>
              <wp:positionH relativeFrom="page">
                <wp:posOffset>5709923</wp:posOffset>
              </wp:positionH>
              <wp:positionV relativeFrom="page">
                <wp:posOffset>9746233</wp:posOffset>
              </wp:positionV>
              <wp:extent cx="1436370" cy="1143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436370" cy="114300"/>
                      </a:xfrm>
                      <a:prstGeom prst="rect">
                        <a:avLst/>
                      </a:prstGeom>
                    </wps:spPr>
                    <wps:txbx>
                      <w:txbxContent>
                        <w:p>
                          <w:pPr>
                            <w:spacing w:line="162" w:lineRule="exact" w:before="0"/>
                            <w:ind w:left="20" w:right="0" w:firstLine="0"/>
                            <w:jc w:val="left"/>
                            <w:rPr>
                              <w:rFonts w:ascii="Calibri" w:hAnsi="Calibri"/>
                              <w:sz w:val="14"/>
                            </w:rPr>
                          </w:pPr>
                          <w:r>
                            <w:rPr>
                              <w:rFonts w:ascii="Calibri" w:hAnsi="Calibri"/>
                              <w:sz w:val="14"/>
                            </w:rPr>
                            <w:t>©2024</w:t>
                          </w:r>
                          <w:r>
                            <w:rPr>
                              <w:rFonts w:ascii="Calibri" w:hAnsi="Calibri"/>
                              <w:spacing w:val="-6"/>
                              <w:sz w:val="14"/>
                            </w:rPr>
                            <w:t> </w:t>
                          </w:r>
                          <w:r>
                            <w:rPr>
                              <w:rFonts w:ascii="Calibri" w:hAnsi="Calibri"/>
                              <w:sz w:val="14"/>
                            </w:rPr>
                            <w:t>Bloomberg</w:t>
                          </w:r>
                          <w:r>
                            <w:rPr>
                              <w:rFonts w:ascii="Calibri" w:hAnsi="Calibri"/>
                              <w:spacing w:val="-5"/>
                              <w:sz w:val="14"/>
                            </w:rPr>
                            <w:t> </w:t>
                          </w:r>
                          <w:r>
                            <w:rPr>
                              <w:rFonts w:ascii="Calibri" w:hAnsi="Calibri"/>
                              <w:sz w:val="14"/>
                            </w:rPr>
                            <w:t>Industry</w:t>
                          </w:r>
                          <w:r>
                            <w:rPr>
                              <w:rFonts w:ascii="Calibri" w:hAnsi="Calibri"/>
                              <w:spacing w:val="-6"/>
                              <w:sz w:val="14"/>
                            </w:rPr>
                            <w:t> </w:t>
                          </w:r>
                          <w:r>
                            <w:rPr>
                              <w:rFonts w:ascii="Calibri" w:hAnsi="Calibri"/>
                              <w:sz w:val="14"/>
                            </w:rPr>
                            <w:t>Group,</w:t>
                          </w:r>
                          <w:r>
                            <w:rPr>
                              <w:rFonts w:ascii="Calibri" w:hAnsi="Calibri"/>
                              <w:spacing w:val="-3"/>
                              <w:sz w:val="14"/>
                            </w:rPr>
                            <w:t> </w:t>
                          </w:r>
                          <w:r>
                            <w:rPr>
                              <w:rFonts w:ascii="Calibri" w:hAnsi="Calibri"/>
                              <w:spacing w:val="-4"/>
                              <w:sz w:val="14"/>
                            </w:rPr>
                            <w:t>Inc.</w:t>
                          </w:r>
                        </w:p>
                      </w:txbxContent>
                    </wps:txbx>
                    <wps:bodyPr wrap="square" lIns="0" tIns="0" rIns="0" bIns="0" rtlCol="0">
                      <a:noAutofit/>
                    </wps:bodyPr>
                  </wps:wsp>
                </a:graphicData>
              </a:graphic>
            </wp:anchor>
          </w:drawing>
        </mc:Choice>
        <mc:Fallback>
          <w:pict>
            <v:shape style="position:absolute;margin-left:449.60025pt;margin-top:767.419983pt;width:113.1pt;height:9pt;mso-position-horizontal-relative:page;mso-position-vertical-relative:page;z-index:-15844864" type="#_x0000_t202" id="docshape2" filled="false" stroked="false">
              <v:textbox inset="0,0,0,0">
                <w:txbxContent>
                  <w:p>
                    <w:pPr>
                      <w:spacing w:line="162" w:lineRule="exact" w:before="0"/>
                      <w:ind w:left="20" w:right="0" w:firstLine="0"/>
                      <w:jc w:val="left"/>
                      <w:rPr>
                        <w:rFonts w:ascii="Calibri" w:hAnsi="Calibri"/>
                        <w:sz w:val="14"/>
                      </w:rPr>
                    </w:pPr>
                    <w:r>
                      <w:rPr>
                        <w:rFonts w:ascii="Calibri" w:hAnsi="Calibri"/>
                        <w:sz w:val="14"/>
                      </w:rPr>
                      <w:t>©2024</w:t>
                    </w:r>
                    <w:r>
                      <w:rPr>
                        <w:rFonts w:ascii="Calibri" w:hAnsi="Calibri"/>
                        <w:spacing w:val="-6"/>
                        <w:sz w:val="14"/>
                      </w:rPr>
                      <w:t> </w:t>
                    </w:r>
                    <w:r>
                      <w:rPr>
                        <w:rFonts w:ascii="Calibri" w:hAnsi="Calibri"/>
                        <w:sz w:val="14"/>
                      </w:rPr>
                      <w:t>Bloomberg</w:t>
                    </w:r>
                    <w:r>
                      <w:rPr>
                        <w:rFonts w:ascii="Calibri" w:hAnsi="Calibri"/>
                        <w:spacing w:val="-5"/>
                        <w:sz w:val="14"/>
                      </w:rPr>
                      <w:t> </w:t>
                    </w:r>
                    <w:r>
                      <w:rPr>
                        <w:rFonts w:ascii="Calibri" w:hAnsi="Calibri"/>
                        <w:sz w:val="14"/>
                      </w:rPr>
                      <w:t>Industry</w:t>
                    </w:r>
                    <w:r>
                      <w:rPr>
                        <w:rFonts w:ascii="Calibri" w:hAnsi="Calibri"/>
                        <w:spacing w:val="-6"/>
                        <w:sz w:val="14"/>
                      </w:rPr>
                      <w:t> </w:t>
                    </w:r>
                    <w:r>
                      <w:rPr>
                        <w:rFonts w:ascii="Calibri" w:hAnsi="Calibri"/>
                        <w:sz w:val="14"/>
                      </w:rPr>
                      <w:t>Group,</w:t>
                    </w:r>
                    <w:r>
                      <w:rPr>
                        <w:rFonts w:ascii="Calibri" w:hAnsi="Calibri"/>
                        <w:spacing w:val="-3"/>
                        <w:sz w:val="14"/>
                      </w:rPr>
                      <w:t> </w:t>
                    </w:r>
                    <w:r>
                      <w:rPr>
                        <w:rFonts w:ascii="Calibri" w:hAnsi="Calibri"/>
                        <w:spacing w:val="-4"/>
                        <w:sz w:val="14"/>
                      </w:rPr>
                      <w:t>Inc.</w:t>
                    </w:r>
                  </w:p>
                </w:txbxContent>
              </v:textbox>
              <w10:wrap type="none"/>
            </v:shape>
          </w:pict>
        </mc:Fallback>
      </mc:AlternateContent>
    </w:r>
    <w:r>
      <w:rPr/>
      <mc:AlternateContent>
        <mc:Choice Requires="wps">
          <w:drawing>
            <wp:anchor distT="0" distB="0" distL="0" distR="0" allowOverlap="1" layoutInCell="1" locked="0" behindDoc="1" simplePos="0" relativeHeight="487472128">
              <wp:simplePos x="0" y="0"/>
              <wp:positionH relativeFrom="page">
                <wp:posOffset>3825240</wp:posOffset>
              </wp:positionH>
              <wp:positionV relativeFrom="page">
                <wp:posOffset>9793478</wp:posOffset>
              </wp:positionV>
              <wp:extent cx="133985" cy="1143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33985" cy="114300"/>
                      </a:xfrm>
                      <a:prstGeom prst="rect">
                        <a:avLst/>
                      </a:prstGeom>
                    </wps:spPr>
                    <wps:txbx>
                      <w:txbxContent>
                        <w:p>
                          <w:pPr>
                            <w:spacing w:line="162" w:lineRule="exact" w:before="0"/>
                            <w:ind w:left="60" w:right="0" w:firstLine="0"/>
                            <w:jc w:val="left"/>
                            <w:rPr>
                              <w:rFonts w:ascii="Calibri"/>
                              <w:sz w:val="14"/>
                            </w:rPr>
                          </w:pPr>
                          <w:r>
                            <w:rPr>
                              <w:rFonts w:ascii="Calibri"/>
                              <w:spacing w:val="-10"/>
                              <w:sz w:val="14"/>
                            </w:rPr>
                            <w:fldChar w:fldCharType="begin"/>
                          </w:r>
                          <w:r>
                            <w:rPr>
                              <w:rFonts w:ascii="Calibri"/>
                              <w:spacing w:val="-10"/>
                              <w:sz w:val="14"/>
                            </w:rPr>
                            <w:instrText> PAGE </w:instrText>
                          </w:r>
                          <w:r>
                            <w:rPr>
                              <w:rFonts w:ascii="Calibri"/>
                              <w:spacing w:val="-10"/>
                              <w:sz w:val="14"/>
                            </w:rPr>
                            <w:fldChar w:fldCharType="separate"/>
                          </w:r>
                          <w:r>
                            <w:rPr>
                              <w:rFonts w:ascii="Calibri"/>
                              <w:spacing w:val="-10"/>
                              <w:sz w:val="14"/>
                            </w:rPr>
                            <w:t>2</w:t>
                          </w:r>
                          <w:r>
                            <w:rPr>
                              <w:rFonts w:ascii="Calibri"/>
                              <w:spacing w:val="-10"/>
                              <w:sz w:val="14"/>
                            </w:rPr>
                            <w:fldChar w:fldCharType="end"/>
                          </w:r>
                        </w:p>
                      </w:txbxContent>
                    </wps:txbx>
                    <wps:bodyPr wrap="square" lIns="0" tIns="0" rIns="0" bIns="0" rtlCol="0">
                      <a:noAutofit/>
                    </wps:bodyPr>
                  </wps:wsp>
                </a:graphicData>
              </a:graphic>
            </wp:anchor>
          </w:drawing>
        </mc:Choice>
        <mc:Fallback>
          <w:pict>
            <v:shape style="position:absolute;margin-left:301.200012pt;margin-top:771.140015pt;width:10.55pt;height:9pt;mso-position-horizontal-relative:page;mso-position-vertical-relative:page;z-index:-15844352" type="#_x0000_t202" id="docshape3" filled="false" stroked="false">
              <v:textbox inset="0,0,0,0">
                <w:txbxContent>
                  <w:p>
                    <w:pPr>
                      <w:spacing w:line="162" w:lineRule="exact" w:before="0"/>
                      <w:ind w:left="60" w:right="0" w:firstLine="0"/>
                      <w:jc w:val="left"/>
                      <w:rPr>
                        <w:rFonts w:ascii="Calibri"/>
                        <w:sz w:val="14"/>
                      </w:rPr>
                    </w:pPr>
                    <w:r>
                      <w:rPr>
                        <w:rFonts w:ascii="Calibri"/>
                        <w:spacing w:val="-10"/>
                        <w:sz w:val="14"/>
                      </w:rPr>
                      <w:fldChar w:fldCharType="begin"/>
                    </w:r>
                    <w:r>
                      <w:rPr>
                        <w:rFonts w:ascii="Calibri"/>
                        <w:spacing w:val="-10"/>
                        <w:sz w:val="14"/>
                      </w:rPr>
                      <w:instrText> PAGE </w:instrText>
                    </w:r>
                    <w:r>
                      <w:rPr>
                        <w:rFonts w:ascii="Calibri"/>
                        <w:spacing w:val="-10"/>
                        <w:sz w:val="14"/>
                      </w:rPr>
                      <w:fldChar w:fldCharType="separate"/>
                    </w:r>
                    <w:r>
                      <w:rPr>
                        <w:rFonts w:ascii="Calibri"/>
                        <w:spacing w:val="-10"/>
                        <w:sz w:val="14"/>
                      </w:rPr>
                      <w:t>2</w:t>
                    </w:r>
                    <w:r>
                      <w:rPr>
                        <w:rFonts w:ascii="Calibri"/>
                        <w:spacing w:val="-10"/>
                        <w:sz w:val="1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
      <w:numFmt w:val="lowerRoman"/>
      <w:lvlText w:val="(%1)"/>
      <w:lvlJc w:val="left"/>
      <w:pPr>
        <w:ind w:left="119" w:hanging="286"/>
        <w:jc w:val="left"/>
      </w:pPr>
      <w:rPr>
        <w:rFonts w:hint="default" w:ascii="Open Sans" w:hAnsi="Open Sans" w:eastAsia="Open Sans" w:cs="Open Sans"/>
        <w:b w:val="0"/>
        <w:bCs w:val="0"/>
        <w:i w:val="0"/>
        <w:iCs w:val="0"/>
        <w:spacing w:val="-1"/>
        <w:w w:val="100"/>
        <w:sz w:val="21"/>
        <w:szCs w:val="21"/>
        <w:lang w:val="en-US" w:eastAsia="en-US" w:bidi="ar-SA"/>
      </w:rPr>
    </w:lvl>
    <w:lvl w:ilvl="1">
      <w:start w:val="0"/>
      <w:numFmt w:val="bullet"/>
      <w:lvlText w:val="•"/>
      <w:lvlJc w:val="left"/>
      <w:pPr>
        <w:ind w:left="1220" w:hanging="286"/>
      </w:pPr>
      <w:rPr>
        <w:rFonts w:hint="default"/>
        <w:lang w:val="en-US" w:eastAsia="en-US" w:bidi="ar-SA"/>
      </w:rPr>
    </w:lvl>
    <w:lvl w:ilvl="2">
      <w:start w:val="0"/>
      <w:numFmt w:val="bullet"/>
      <w:lvlText w:val="•"/>
      <w:lvlJc w:val="left"/>
      <w:pPr>
        <w:ind w:left="2320" w:hanging="286"/>
      </w:pPr>
      <w:rPr>
        <w:rFonts w:hint="default"/>
        <w:lang w:val="en-US" w:eastAsia="en-US" w:bidi="ar-SA"/>
      </w:rPr>
    </w:lvl>
    <w:lvl w:ilvl="3">
      <w:start w:val="0"/>
      <w:numFmt w:val="bullet"/>
      <w:lvlText w:val="•"/>
      <w:lvlJc w:val="left"/>
      <w:pPr>
        <w:ind w:left="3420" w:hanging="286"/>
      </w:pPr>
      <w:rPr>
        <w:rFonts w:hint="default"/>
        <w:lang w:val="en-US" w:eastAsia="en-US" w:bidi="ar-SA"/>
      </w:rPr>
    </w:lvl>
    <w:lvl w:ilvl="4">
      <w:start w:val="0"/>
      <w:numFmt w:val="bullet"/>
      <w:lvlText w:val="•"/>
      <w:lvlJc w:val="left"/>
      <w:pPr>
        <w:ind w:left="4520" w:hanging="286"/>
      </w:pPr>
      <w:rPr>
        <w:rFonts w:hint="default"/>
        <w:lang w:val="en-US" w:eastAsia="en-US" w:bidi="ar-SA"/>
      </w:rPr>
    </w:lvl>
    <w:lvl w:ilvl="5">
      <w:start w:val="0"/>
      <w:numFmt w:val="bullet"/>
      <w:lvlText w:val="•"/>
      <w:lvlJc w:val="left"/>
      <w:pPr>
        <w:ind w:left="5620" w:hanging="286"/>
      </w:pPr>
      <w:rPr>
        <w:rFonts w:hint="default"/>
        <w:lang w:val="en-US" w:eastAsia="en-US" w:bidi="ar-SA"/>
      </w:rPr>
    </w:lvl>
    <w:lvl w:ilvl="6">
      <w:start w:val="0"/>
      <w:numFmt w:val="bullet"/>
      <w:lvlText w:val="•"/>
      <w:lvlJc w:val="left"/>
      <w:pPr>
        <w:ind w:left="6720" w:hanging="286"/>
      </w:pPr>
      <w:rPr>
        <w:rFonts w:hint="default"/>
        <w:lang w:val="en-US" w:eastAsia="en-US" w:bidi="ar-SA"/>
      </w:rPr>
    </w:lvl>
    <w:lvl w:ilvl="7">
      <w:start w:val="0"/>
      <w:numFmt w:val="bullet"/>
      <w:lvlText w:val="•"/>
      <w:lvlJc w:val="left"/>
      <w:pPr>
        <w:ind w:left="7820" w:hanging="286"/>
      </w:pPr>
      <w:rPr>
        <w:rFonts w:hint="default"/>
        <w:lang w:val="en-US" w:eastAsia="en-US" w:bidi="ar-SA"/>
      </w:rPr>
    </w:lvl>
    <w:lvl w:ilvl="8">
      <w:start w:val="0"/>
      <w:numFmt w:val="bullet"/>
      <w:lvlText w:val="•"/>
      <w:lvlJc w:val="left"/>
      <w:pPr>
        <w:ind w:left="8920" w:hanging="286"/>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Open Sans" w:hAnsi="Open Sans" w:eastAsia="Open Sans" w:cs="Open Sans"/>
      <w:lang w:val="en-US" w:eastAsia="en-US" w:bidi="ar-SA"/>
    </w:rPr>
  </w:style>
  <w:style w:styleId="BodyText" w:type="paragraph">
    <w:name w:val="Body Text"/>
    <w:basedOn w:val="Normal"/>
    <w:uiPriority w:val="1"/>
    <w:qFormat/>
    <w:pPr/>
    <w:rPr>
      <w:rFonts w:ascii="Open Sans" w:hAnsi="Open Sans" w:eastAsia="Open Sans" w:cs="Open Sans"/>
      <w:sz w:val="21"/>
      <w:szCs w:val="21"/>
      <w:lang w:val="en-US" w:eastAsia="en-US" w:bidi="ar-SA"/>
    </w:rPr>
  </w:style>
  <w:style w:styleId="Heading1" w:type="paragraph">
    <w:name w:val="Heading 1"/>
    <w:basedOn w:val="Normal"/>
    <w:uiPriority w:val="1"/>
    <w:qFormat/>
    <w:pPr>
      <w:ind w:left="120"/>
      <w:outlineLvl w:val="1"/>
    </w:pPr>
    <w:rPr>
      <w:rFonts w:ascii="Open Sans" w:hAnsi="Open Sans" w:eastAsia="Open Sans" w:cs="Open Sans"/>
      <w:b/>
      <w:bCs/>
      <w:sz w:val="21"/>
      <w:szCs w:val="21"/>
      <w:lang w:val="en-US" w:eastAsia="en-US" w:bidi="ar-SA"/>
    </w:rPr>
  </w:style>
  <w:style w:styleId="Heading2" w:type="paragraph">
    <w:name w:val="Heading 2"/>
    <w:basedOn w:val="Normal"/>
    <w:uiPriority w:val="1"/>
    <w:qFormat/>
    <w:pPr>
      <w:ind w:left="120"/>
      <w:outlineLvl w:val="2"/>
    </w:pPr>
    <w:rPr>
      <w:rFonts w:ascii="Open Sans" w:hAnsi="Open Sans" w:eastAsia="Open Sans" w:cs="Open Sans"/>
      <w:b/>
      <w:bCs/>
      <w:i/>
      <w:iCs/>
      <w:sz w:val="21"/>
      <w:szCs w:val="21"/>
      <w:lang w:val="en-US" w:eastAsia="en-US" w:bidi="ar-SA"/>
    </w:rPr>
  </w:style>
  <w:style w:styleId="Title" w:type="paragraph">
    <w:name w:val="Title"/>
    <w:basedOn w:val="Normal"/>
    <w:uiPriority w:val="1"/>
    <w:qFormat/>
    <w:pPr>
      <w:spacing w:before="59"/>
      <w:ind w:left="895"/>
    </w:pPr>
    <w:rPr>
      <w:rFonts w:ascii="Open Sans" w:hAnsi="Open Sans" w:eastAsia="Open Sans" w:cs="Open Sans"/>
      <w:b/>
      <w:bCs/>
      <w:sz w:val="36"/>
      <w:szCs w:val="36"/>
      <w:lang w:val="en-US" w:eastAsia="en-US" w:bidi="ar-SA"/>
    </w:rPr>
  </w:style>
  <w:style w:styleId="ListParagraph" w:type="paragraph">
    <w:name w:val="List Paragraph"/>
    <w:basedOn w:val="Normal"/>
    <w:uiPriority w:val="1"/>
    <w:qFormat/>
    <w:pPr>
      <w:spacing w:before="3"/>
      <w:ind w:left="119" w:hanging="335"/>
    </w:pPr>
    <w:rPr>
      <w:rFonts w:ascii="Open Sans" w:hAnsi="Open Sans" w:eastAsia="Open Sans" w:cs="Open Sans"/>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s://www.morrisnichols.com/lawyers-david-a-harris" TargetMode="External"/><Relationship Id="rId7" Type="http://schemas.openxmlformats.org/officeDocument/2006/relationships/hyperlink" Target="https://www.morrisnichols.com/lawyers-melissa-a-divincenzo" TargetMode="External"/><Relationship Id="rId8" Type="http://schemas.openxmlformats.org/officeDocument/2006/relationships/hyperlink" Target="https://www.morrisnichols.com/lawyers-matthew-r-darby" TargetMode="External"/><Relationship Id="rId9" Type="http://schemas.openxmlformats.org/officeDocument/2006/relationships/hyperlink" Target="https://www.morrisnichols.com/lawyers-emily-laspina" TargetMode="External"/><Relationship Id="rId10" Type="http://schemas.openxmlformats.org/officeDocument/2006/relationships/hyperlink" Target="https://www.bloomberglaw.com/product/BLPG/page/professional_perspectives" TargetMode="External"/><Relationship Id="rId11" Type="http://schemas.openxmlformats.org/officeDocument/2006/relationships/hyperlink" Target="https://pro.bloomberglaw.com/become-a-contributor/?utm_source=ACQ&amp;utm_medium=PRP" TargetMode="External"/><Relationship Id="rId12" Type="http://schemas.openxmlformats.org/officeDocument/2006/relationships/hyperlink" Target="mailto:permissions@bloombergindustry.com" TargetMode="External"/><Relationship Id="rId13" Type="http://schemas.openxmlformats.org/officeDocument/2006/relationships/footer" Target="footer1.xml"/><Relationship Id="rId14" Type="http://schemas.openxmlformats.org/officeDocument/2006/relationships/hyperlink" Target="https://www.bloomberglaw.com/product/corporate/document/2915430440" TargetMode="External"/><Relationship Id="rId15" Type="http://schemas.openxmlformats.org/officeDocument/2006/relationships/hyperlink" Target="https://www.bloomberglaw.com/product/corporate/document/X2MSC318" TargetMode="External"/><Relationship Id="rId16" Type="http://schemas.openxmlformats.org/officeDocument/2006/relationships/hyperlink" Target="http://www.bloomberglaw.com/citation/311%20a.3d%20809" TargetMode="External"/><Relationship Id="rId17" Type="http://schemas.openxmlformats.org/officeDocument/2006/relationships/hyperlink" Target="https://www.bloomberglaw.com/product/corporate/document/5224837672" TargetMode="External"/><Relationship Id="rId18" Type="http://schemas.openxmlformats.org/officeDocument/2006/relationships/hyperlink" Target="https://www.bloomberglaw.com/product/corporate/document/33465149992" TargetMode="External"/><Relationship Id="rId19" Type="http://schemas.openxmlformats.org/officeDocument/2006/relationships/hyperlink" Target="http://www.bloomberglaw.com/citation/2024%20bl%2067209" TargetMode="External"/><Relationship Id="rId20" Type="http://schemas.openxmlformats.org/officeDocument/2006/relationships/hyperlink" Target="https://www.bloomberglaw.com/product/corporate/document/2915466792" TargetMode="External"/><Relationship Id="rId21" Type="http://schemas.openxmlformats.org/officeDocument/2006/relationships/hyperlink" Target="https://www.bloomberglaw.com/product/corporate/document/2915477032" TargetMode="External"/><Relationship Id="rId22" Type="http://schemas.openxmlformats.org/officeDocument/2006/relationships/hyperlink" Target="https://www.bloomberglaw.com/public/document/CrispovMusk304A3d567DelCh2023CourtOpinion?doc_id=X1IG19VA0000N" TargetMode="External"/><Relationship Id="rId23" Type="http://schemas.openxmlformats.org/officeDocument/2006/relationships/hyperlink" Target="https://www.bloomberglaw.com/product/corporate/document/33465150504" TargetMode="External"/><Relationship Id="rId24" Type="http://schemas.openxmlformats.org/officeDocument/2006/relationships/hyperlink" Target="https://www.bloomberglaw.com/product/corporate/document/2915471912" TargetMode="External"/><Relationship Id="rId25" Type="http://schemas.openxmlformats.org/officeDocument/2006/relationships/hyperlink" Target="https://www.bloomberglaw.com/product/corporate/document/32932716072" TargetMode="External"/><Relationship Id="rId26" Type="http://schemas.openxmlformats.org/officeDocument/2006/relationships/hyperlink" Target="https://www.bloomberglaw.com/product/corporate/document/32932684328" TargetMode="External"/><Relationship Id="rId27" Type="http://schemas.openxmlformats.org/officeDocument/2006/relationships/hyperlink" Target="https://www.bloomberglaw.com/product/corporate/document/32932647464" TargetMode="External"/><Relationship Id="rId28" Type="http://schemas.openxmlformats.org/officeDocument/2006/relationships/hyperlink" Target="https://www.bloomberglaw.com/product/corporate/document/32932690472" TargetMode="External"/><Relationship Id="rId29" Type="http://schemas.openxmlformats.org/officeDocument/2006/relationships/hyperlink" Target="https://www.bloomberglaw.com/product/corporate/document/32932642344" TargetMode="External"/><Relationship Id="rId30" Type="http://schemas.openxmlformats.org/officeDocument/2006/relationships/hyperlink" Target="https://www.bloomberglaw.com/product/corporate/document/32932686888" TargetMode="External"/><Relationship Id="rId31" Type="http://schemas.openxmlformats.org/officeDocument/2006/relationships/hyperlink" Target="https://www.bloomberglaw.com/product/corporate/document/32932693032" TargetMode="External"/><Relationship Id="rId32" Type="http://schemas.openxmlformats.org/officeDocument/2006/relationships/hyperlink" Target="https://www.bloomberglaw.com/product/corporate/document/32932673064" TargetMode="External"/><Relationship Id="rId33" Type="http://schemas.openxmlformats.org/officeDocument/2006/relationships/hyperlink" Target="https://www.bloomberglaw.com/product/corporate/document/32932644392" TargetMode="External"/><Relationship Id="rId34" Type="http://schemas.openxmlformats.org/officeDocument/2006/relationships/hyperlink" Target="https://www.bloomberglaw.com/product/corporate/document/32932645928" TargetMode="External"/><Relationship Id="rId35" Type="http://schemas.openxmlformats.org/officeDocument/2006/relationships/hyperlink" Target="https://www.bloomberglaw.com/product/corporate/document/32932636200" TargetMode="External"/><Relationship Id="rId36" Type="http://schemas.openxmlformats.org/officeDocument/2006/relationships/hyperlink" Target="https://www.bloomberglaw.com/product/corporate/document/32932682792" TargetMode="External"/><Relationship Id="rId37" Type="http://schemas.openxmlformats.org/officeDocument/2006/relationships/hyperlink" Target="https://www.bloomberglaw.com/product/corporate/document/32307956776" TargetMode="External"/><Relationship Id="rId38" Type="http://schemas.openxmlformats.org/officeDocument/2006/relationships/hyperlink" Target="https://www.bloomberglaw.com/product/corporate/document/32307954728" TargetMode="External"/><Relationship Id="rId39" Type="http://schemas.openxmlformats.org/officeDocument/2006/relationships/hyperlink" Target="https://www.bloomberglaw.com/product/corporate/document/32307953192" TargetMode="External"/><Relationship Id="rId40" Type="http://schemas.openxmlformats.org/officeDocument/2006/relationships/hyperlink" Target="https://www.bloomberglaw.com/product/corporate/document/32307963432" TargetMode="External"/><Relationship Id="rId41" Type="http://schemas.openxmlformats.org/officeDocument/2006/relationships/hyperlink" Target="https://www.bloomberglaw.com/product/corporate/document/32307959336" TargetMode="External"/><Relationship Id="rId42" Type="http://schemas.openxmlformats.org/officeDocument/2006/relationships/hyperlink" Target="https://www.bloomberglaw.com/product/corporate/document/32307958824" TargetMode="External"/><Relationship Id="rId4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Schneider, Michelle</dc:creator>
  <dc:description/>
  <dcterms:created xsi:type="dcterms:W3CDTF">2024-11-22T15:46:04Z</dcterms:created>
  <dcterms:modified xsi:type="dcterms:W3CDTF">2024-11-22T15:46:04Z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2024-11-22T00:00:00Z</vt:filetime>
  </property>
  <property fmtid="{D5CDD505-2E9C-101B-9397-08002B2CF9AE}" pid="3" name="Creator">
    <vt:lpwstr>Acrobat PDFMaker 24 for Word</vt:lpwstr>
  </property>
  <property fmtid="{D5CDD505-2E9C-101B-9397-08002B2CF9AE}" pid="4" name="LastSaved">
    <vt:filetime>2024-11-22T00:00:00Z</vt:filetime>
  </property>
  <property fmtid="{D5CDD505-2E9C-101B-9397-08002B2CF9AE}" pid="5" name="MSIP_Label_f786616f-5bb4-45d1-b9c4-7a19bded0f1d_ActionId">
    <vt:lpwstr>7c6371a8-f2f8-4aa1-819d-ecd2d5266ee6</vt:lpwstr>
  </property>
  <property fmtid="{D5CDD505-2E9C-101B-9397-08002B2CF9AE}" pid="6" name="MSIP_Label_f786616f-5bb4-45d1-b9c4-7a19bded0f1d_ContentBits">
    <vt:lpwstr>0</vt:lpwstr>
  </property>
  <property fmtid="{D5CDD505-2E9C-101B-9397-08002B2CF9AE}" pid="7" name="MSIP_Label_f786616f-5bb4-45d1-b9c4-7a19bded0f1d_Enabled">
    <vt:lpwstr>true</vt:lpwstr>
  </property>
  <property fmtid="{D5CDD505-2E9C-101B-9397-08002B2CF9AE}" pid="8" name="MSIP_Label_f786616f-5bb4-45d1-b9c4-7a19bded0f1d_Method">
    <vt:lpwstr>Standard</vt:lpwstr>
  </property>
  <property fmtid="{D5CDD505-2E9C-101B-9397-08002B2CF9AE}" pid="9" name="MSIP_Label_f786616f-5bb4-45d1-b9c4-7a19bded0f1d_Name">
    <vt:lpwstr>Public</vt:lpwstr>
  </property>
  <property fmtid="{D5CDD505-2E9C-101B-9397-08002B2CF9AE}" pid="10" name="MSIP_Label_f786616f-5bb4-45d1-b9c4-7a19bded0f1d_SetDate">
    <vt:lpwstr>2023-08-03T18:34:11Z</vt:lpwstr>
  </property>
  <property fmtid="{D5CDD505-2E9C-101B-9397-08002B2CF9AE}" pid="11" name="MSIP_Label_f786616f-5bb4-45d1-b9c4-7a19bded0f1d_SiteId">
    <vt:lpwstr>97be21fd-c601-4b16-9920-f5accc69da65</vt:lpwstr>
  </property>
  <property fmtid="{D5CDD505-2E9C-101B-9397-08002B2CF9AE}" pid="12" name="Producer">
    <vt:lpwstr>Adobe PDF Library 24.4.48</vt:lpwstr>
  </property>
  <property fmtid="{D5CDD505-2E9C-101B-9397-08002B2CF9AE}" pid="13" name="SourceModified">
    <vt:lpwstr>D:20241122152111</vt:lpwstr>
  </property>
</Properties>
</file>